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  <w:r>
        <w:rPr>
          <w:rFonts w:hint="eastAsia"/>
          <w:b/>
          <w:bCs/>
          <w:color w:val="auto"/>
          <w:sz w:val="44"/>
          <w:szCs w:val="44"/>
        </w:rPr>
        <w:t>东博煤矿向益民煤矿供水管路敷设</w:t>
      </w:r>
      <w:r>
        <w:rPr>
          <w:rFonts w:hint="eastAsia" w:asciiTheme="minorEastAsia" w:hAnsiTheme="minorEastAsia"/>
          <w:b/>
          <w:color w:val="auto"/>
          <w:sz w:val="44"/>
          <w:szCs w:val="44"/>
        </w:rPr>
        <w:t>方案</w:t>
      </w: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36"/>
          <w:szCs w:val="36"/>
        </w:rPr>
      </w:pPr>
      <w:r>
        <w:rPr>
          <w:rFonts w:hint="eastAsia" w:ascii="仿宋" w:hAnsi="仿宋" w:eastAsia="仿宋"/>
          <w:b/>
          <w:color w:val="auto"/>
          <w:sz w:val="36"/>
          <w:szCs w:val="36"/>
        </w:rPr>
        <w:t>伊金霍洛旗东博煤炭有限责任公司</w:t>
      </w:r>
    </w:p>
    <w:p>
      <w:pPr>
        <w:jc w:val="center"/>
        <w:rPr>
          <w:rFonts w:ascii="仿宋" w:hAnsi="仿宋" w:eastAsia="仿宋"/>
          <w:b/>
          <w:color w:val="auto"/>
          <w:sz w:val="36"/>
          <w:szCs w:val="36"/>
        </w:rPr>
      </w:pPr>
    </w:p>
    <w:p>
      <w:pPr>
        <w:jc w:val="center"/>
        <w:rPr>
          <w:rFonts w:ascii="仿宋" w:hAnsi="仿宋" w:eastAsia="仿宋"/>
          <w:b/>
          <w:color w:val="auto"/>
          <w:sz w:val="36"/>
          <w:szCs w:val="36"/>
        </w:rPr>
      </w:pPr>
      <w:r>
        <w:rPr>
          <w:rFonts w:hint="eastAsia" w:ascii="仿宋" w:hAnsi="仿宋" w:eastAsia="仿宋"/>
          <w:b/>
          <w:color w:val="auto"/>
          <w:sz w:val="36"/>
          <w:szCs w:val="36"/>
        </w:rPr>
        <w:t>二〇二一年十月</w:t>
      </w:r>
      <w:r>
        <w:rPr>
          <w:rFonts w:hint="eastAsia" w:ascii="仿宋" w:hAnsi="仿宋" w:eastAsia="仿宋"/>
          <w:b/>
          <w:color w:val="auto"/>
          <w:sz w:val="36"/>
          <w:szCs w:val="36"/>
          <w:lang w:eastAsia="zh-CN"/>
        </w:rPr>
        <w:t>二</w:t>
      </w:r>
      <w:r>
        <w:rPr>
          <w:rFonts w:hint="eastAsia" w:ascii="仿宋" w:hAnsi="仿宋" w:eastAsia="仿宋"/>
          <w:b/>
          <w:color w:val="auto"/>
          <w:sz w:val="36"/>
          <w:szCs w:val="36"/>
        </w:rPr>
        <w:t>十日</w:t>
      </w:r>
    </w:p>
    <w:p>
      <w:pPr>
        <w:jc w:val="center"/>
        <w:rPr>
          <w:rFonts w:ascii="仿宋" w:hAnsi="仿宋" w:eastAsia="仿宋"/>
          <w:b/>
          <w:color w:val="auto"/>
          <w:sz w:val="24"/>
        </w:rPr>
        <w:sectPr>
          <w:pgSz w:w="11906" w:h="16838"/>
          <w:pgMar w:top="1440" w:right="1440" w:bottom="1440" w:left="1440" w:header="851" w:footer="992" w:gutter="0"/>
          <w:paperSrc w:first="7" w:other="7"/>
          <w:pgNumType w:start="1"/>
          <w:cols w:space="425" w:num="1"/>
          <w:docGrid w:linePitch="312" w:charSpace="0"/>
        </w:sectPr>
      </w:pP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为了充分合理利用水资源，经规划论证，东博煤矿矿井水回用剩余部分通过地面管路输送到益民煤矿，经水处理后满足益民煤矿和汇能化工园的用水需求。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输水管路敷设方案经现场勘察论证比选，并提前与</w:t>
      </w:r>
      <w:r>
        <w:rPr>
          <w:rFonts w:hint="eastAsia" w:ascii="仿宋_GB2312" w:eastAsia="仿宋_GB2312"/>
          <w:color w:val="auto"/>
          <w:lang w:eastAsia="zh-CN"/>
        </w:rPr>
        <w:t>各方</w:t>
      </w:r>
      <w:r>
        <w:rPr>
          <w:rFonts w:hint="eastAsia" w:ascii="仿宋_GB2312" w:eastAsia="仿宋_GB2312"/>
          <w:color w:val="auto"/>
        </w:rPr>
        <w:t>沟通，确定从东博井田一号治理区钻孔，经牛家梁村砂石路到包府公路，在隔离带内沿道路西线至益民煤矿下水钻孔处，敷设一趟供水管路。管路全长3670米，其中沿包府路长2620米。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管材经比选采用给水用钢丝网骨架聚乙烯复合管</w:t>
      </w:r>
      <w:r>
        <w:rPr>
          <w:rFonts w:hint="eastAsia" w:ascii="仿宋_GB2312" w:eastAsia="仿宋_GB2312"/>
          <w:color w:val="FF0000"/>
          <w:lang w:val="en-US" w:eastAsia="zh-CN"/>
        </w:rPr>
        <w:t>(</w:t>
      </w:r>
      <w:r>
        <w:rPr>
          <w:rFonts w:hint="eastAsia" w:ascii="仿宋_GB2312" w:eastAsia="仿宋_GB2312"/>
          <w:color w:val="FF0000"/>
        </w:rPr>
        <w:t>De315，PN1.6MPa</w:t>
      </w:r>
      <w:r>
        <w:rPr>
          <w:rFonts w:hint="eastAsia" w:ascii="仿宋_GB2312" w:eastAsia="仿宋_GB2312"/>
          <w:color w:val="FF0000"/>
          <w:lang w:val="en-US" w:eastAsia="zh-CN"/>
        </w:rPr>
        <w:t>)</w:t>
      </w:r>
      <w:r>
        <w:rPr>
          <w:rFonts w:hint="eastAsia" w:ascii="仿宋_GB2312" w:eastAsia="仿宋_GB2312"/>
          <w:color w:val="auto"/>
        </w:rPr>
        <w:t>，</w:t>
      </w:r>
      <w:r>
        <w:rPr>
          <w:rFonts w:ascii="仿宋_GB2312" w:eastAsia="仿宋_GB2312"/>
          <w:color w:val="auto"/>
        </w:rPr>
        <w:t>直埋敷设，</w:t>
      </w:r>
      <w:r>
        <w:rPr>
          <w:rFonts w:hint="eastAsia" w:ascii="仿宋_GB2312" w:eastAsia="仿宋_GB2312"/>
          <w:color w:val="auto"/>
        </w:rPr>
        <w:t>地面挖沟1.8m,管沟宽1.5m，</w:t>
      </w:r>
      <w:r>
        <w:rPr>
          <w:rFonts w:ascii="仿宋_GB2312" w:eastAsia="仿宋_GB2312"/>
          <w:color w:val="auto"/>
        </w:rPr>
        <w:t>覆土厚度1.80m</w:t>
      </w:r>
      <w:r>
        <w:rPr>
          <w:rFonts w:hint="eastAsia" w:ascii="仿宋_GB2312" w:eastAsia="仿宋_GB2312"/>
          <w:color w:val="auto"/>
        </w:rPr>
        <w:t>。管道穿越公路、道路主干道时，采用顶管施工，并设置套管。套管采用钢筋混凝土管，其长度宽出路基每边3.0米。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排水管线走向详见附图。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1、管路长度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东博煤矿一号治理区钻孔至益民煤矿新开下水孔处，管路全长3670米，其中，沿包府路长2620米，牛家梁村砂石路长1050米。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2、管材及连接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排水管路地形起伏较大，罐基础条件较差，排水管路距离长，为了保证生产，对聚乙烯管材、涂塑钢管、球墨铸铁管、钢丝网骨架聚乙烯复合管四种新型环保管材进行比选，根据本项目的特殊地形、地质条件及进度安排综合考虑，输水管路采用钢丝网骨架聚乙烯复合管，管道连接采用热熔承插连接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根据计算结果及现场实际情况，方案选用给水用钢丝网骨架聚乙烯复合管道。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3、管道敷设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引水管道及输水管线均采用直埋敷设，覆土厚度1</w:t>
      </w:r>
      <w:r>
        <w:rPr>
          <w:rFonts w:ascii="仿宋_GB2312" w:eastAsia="仿宋_GB2312"/>
          <w:color w:val="auto"/>
        </w:rPr>
        <w:t>.80</w:t>
      </w:r>
      <w:r>
        <w:rPr>
          <w:rFonts w:hint="eastAsia" w:ascii="仿宋_GB2312" w:eastAsia="仿宋_GB2312"/>
          <w:color w:val="auto"/>
        </w:rPr>
        <w:t>m，</w:t>
      </w:r>
      <w:r>
        <w:rPr>
          <w:rFonts w:hint="eastAsia" w:cs="宋体"/>
        </w:rPr>
        <w:t>管沟宽1.5m</w:t>
      </w:r>
      <w:r>
        <w:rPr>
          <w:rFonts w:hint="eastAsia" w:ascii="仿宋_GB2312" w:eastAsia="仿宋_GB2312"/>
          <w:color w:val="auto"/>
        </w:rPr>
        <w:t>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管道穿越公路、道路主干道时，采用顶管施工，并设置套管。套管采用钢筋混凝土管，管径大</w:t>
      </w:r>
      <w:r>
        <w:rPr>
          <w:rFonts w:ascii="仿宋_GB2312" w:eastAsia="仿宋_GB2312"/>
          <w:color w:val="auto"/>
        </w:rPr>
        <w:t>2#，其长度</w:t>
      </w:r>
      <w:r>
        <w:rPr>
          <w:rFonts w:hint="eastAsia" w:ascii="仿宋_GB2312" w:eastAsia="仿宋_GB2312"/>
          <w:color w:val="auto"/>
        </w:rPr>
        <w:t>宽出路基</w:t>
      </w:r>
      <w:r>
        <w:rPr>
          <w:rFonts w:ascii="仿宋_GB2312" w:eastAsia="仿宋_GB2312"/>
          <w:color w:val="auto"/>
        </w:rPr>
        <w:t>每边3.0米</w:t>
      </w:r>
      <w:r>
        <w:rPr>
          <w:rFonts w:hint="eastAsia" w:ascii="仿宋_GB2312" w:eastAsia="仿宋_GB2312"/>
          <w:color w:val="auto"/>
        </w:rPr>
        <w:t>。</w:t>
      </w:r>
    </w:p>
    <w:p>
      <w:pPr>
        <w:spacing w:line="360" w:lineRule="auto"/>
        <w:ind w:firstLine="560" w:firstLineChars="200"/>
        <w:rPr>
          <w:rFonts w:ascii="仿宋_GB2312" w:hAnsi="Times New Roman" w:eastAsia="仿宋_GB2312"/>
          <w:color w:val="auto"/>
          <w:szCs w:val="24"/>
        </w:rPr>
      </w:pPr>
      <w:r>
        <w:rPr>
          <w:rFonts w:hint="eastAsia" w:ascii="仿宋_GB2312" w:hAnsi="Times New Roman" w:eastAsia="仿宋_GB2312"/>
          <w:color w:val="auto"/>
          <w:szCs w:val="24"/>
        </w:rPr>
        <w:t>管道应设置管道标志，地下管道应在地面上设置标志桩。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bookmarkStart w:id="0" w:name="_Toc82634143"/>
      <w:r>
        <w:rPr>
          <w:rFonts w:hint="eastAsia" w:ascii="仿宋_GB2312" w:eastAsia="仿宋_GB2312"/>
          <w:color w:val="auto"/>
        </w:rPr>
        <w:t>4、附属构筑物</w:t>
      </w:r>
      <w:bookmarkEnd w:id="0"/>
    </w:p>
    <w:p>
      <w:pPr>
        <w:spacing w:line="360" w:lineRule="auto"/>
        <w:ind w:firstLine="560" w:firstLineChars="200"/>
        <w:rPr>
          <w:rFonts w:ascii="仿宋_GB2312" w:hAnsi="Times New Roman" w:eastAsia="仿宋_GB2312"/>
          <w:color w:val="auto"/>
          <w:szCs w:val="24"/>
        </w:rPr>
      </w:pPr>
      <w:r>
        <w:rPr>
          <w:rFonts w:ascii="仿宋_GB2312" w:hAnsi="Times New Roman" w:eastAsia="仿宋_GB2312"/>
          <w:color w:val="auto"/>
          <w:szCs w:val="24"/>
        </w:rPr>
        <w:t>输水</w:t>
      </w:r>
      <w:r>
        <w:rPr>
          <w:rFonts w:hint="eastAsia" w:ascii="仿宋_GB2312" w:hAnsi="Times New Roman" w:eastAsia="仿宋_GB2312"/>
          <w:color w:val="auto"/>
          <w:szCs w:val="24"/>
        </w:rPr>
        <w:t>管道隆起点上应设自动排气设施，用以排除管内积聚的空气，并在管道需要检修、放空时进入空气，保持排水通畅。</w:t>
      </w:r>
      <w:r>
        <w:rPr>
          <w:rFonts w:ascii="仿宋_GB2312" w:hAnsi="Times New Roman" w:eastAsia="仿宋_GB2312"/>
          <w:color w:val="auto"/>
          <w:szCs w:val="24"/>
        </w:rPr>
        <w:t>管线竖向布置平缓时，间隔1000m左右设一处</w:t>
      </w:r>
      <w:r>
        <w:rPr>
          <w:rFonts w:hint="eastAsia" w:ascii="仿宋_GB2312" w:hAnsi="Times New Roman" w:eastAsia="仿宋_GB2312"/>
          <w:color w:val="auto"/>
          <w:szCs w:val="24"/>
        </w:rPr>
        <w:t>自动排</w:t>
      </w:r>
      <w:r>
        <w:rPr>
          <w:rFonts w:ascii="仿宋_GB2312" w:hAnsi="Times New Roman" w:eastAsia="仿宋_GB2312"/>
          <w:color w:val="auto"/>
          <w:szCs w:val="24"/>
        </w:rPr>
        <w:t>气设施。输水</w:t>
      </w:r>
      <w:r>
        <w:rPr>
          <w:rFonts w:hint="eastAsia" w:ascii="仿宋_GB2312" w:hAnsi="Times New Roman" w:eastAsia="仿宋_GB2312"/>
          <w:color w:val="auto"/>
          <w:szCs w:val="24"/>
        </w:rPr>
        <w:t>管道低洼处及阀门间管段低处，应设置泄水设施，以便排除管内沉积物或检修时放空管道。</w:t>
      </w:r>
    </w:p>
    <w:tbl>
      <w:tblPr>
        <w:tblStyle w:val="32"/>
        <w:tblpPr w:leftFromText="180" w:rightFromText="180" w:vertAnchor="text" w:horzAnchor="page" w:tblpX="1645" w:tblpY="2439"/>
        <w:tblOverlap w:val="never"/>
        <w:tblW w:w="5113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1784"/>
        <w:gridCol w:w="2616"/>
        <w:gridCol w:w="724"/>
        <w:gridCol w:w="811"/>
        <w:gridCol w:w="26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9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 xml:space="preserve">名 </w:t>
            </w:r>
            <w:r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>称</w:t>
            </w:r>
          </w:p>
        </w:tc>
        <w:tc>
          <w:tcPr>
            <w:tcW w:w="1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 xml:space="preserve">规 </w:t>
            </w:r>
            <w:r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>格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>单位</w:t>
            </w:r>
          </w:p>
        </w:tc>
        <w:tc>
          <w:tcPr>
            <w:tcW w:w="42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>数量</w:t>
            </w:r>
          </w:p>
        </w:tc>
        <w:tc>
          <w:tcPr>
            <w:tcW w:w="141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>备 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9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圆形预制装配式立式碟阀井</w:t>
            </w:r>
          </w:p>
        </w:tc>
        <w:tc>
          <w:tcPr>
            <w:tcW w:w="1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φ1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500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mm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座</w:t>
            </w:r>
          </w:p>
        </w:tc>
        <w:tc>
          <w:tcPr>
            <w:tcW w:w="42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color w:val="FF0000"/>
                <w:sz w:val="24"/>
                <w:szCs w:val="24"/>
              </w:rPr>
              <w:t>2</w:t>
            </w:r>
          </w:p>
        </w:tc>
        <w:tc>
          <w:tcPr>
            <w:tcW w:w="1416" w:type="pct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钢砼，平均深度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2.50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9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圆形预制装配式排气阀井</w:t>
            </w:r>
          </w:p>
        </w:tc>
        <w:tc>
          <w:tcPr>
            <w:tcW w:w="1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φ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1200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mm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座</w:t>
            </w:r>
          </w:p>
        </w:tc>
        <w:tc>
          <w:tcPr>
            <w:tcW w:w="42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4"/>
              </w:rPr>
              <w:t>2</w:t>
            </w:r>
          </w:p>
        </w:tc>
        <w:tc>
          <w:tcPr>
            <w:tcW w:w="1416" w:type="pct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钢砼，平均深度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2.50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3</w:t>
            </w:r>
          </w:p>
        </w:tc>
        <w:tc>
          <w:tcPr>
            <w:tcW w:w="9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pl-PL"/>
              </w:rPr>
              <w:t>排泥阀井及排泥湿井</w:t>
            </w:r>
          </w:p>
        </w:tc>
        <w:tc>
          <w:tcPr>
            <w:tcW w:w="1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color w:val="FF0000"/>
                <w:kern w:val="0"/>
                <w:sz w:val="24"/>
                <w:szCs w:val="24"/>
              </w:rPr>
              <w:t>1</w:t>
            </w:r>
          </w:p>
        </w:tc>
        <w:tc>
          <w:tcPr>
            <w:tcW w:w="141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szCs w:val="24"/>
              </w:rPr>
              <w:t>（1）</w:t>
            </w:r>
          </w:p>
        </w:tc>
        <w:tc>
          <w:tcPr>
            <w:tcW w:w="9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圆形预制装配式排泥阀井</w:t>
            </w:r>
          </w:p>
        </w:tc>
        <w:tc>
          <w:tcPr>
            <w:tcW w:w="1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φ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1100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mm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座</w:t>
            </w:r>
          </w:p>
        </w:tc>
        <w:tc>
          <w:tcPr>
            <w:tcW w:w="42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仿宋_GB2312" w:hAnsi="华文中宋" w:eastAsia="仿宋_GB2312"/>
                <w:color w:val="FF0000"/>
                <w:sz w:val="24"/>
                <w:szCs w:val="24"/>
              </w:rPr>
              <w:t>1</w:t>
            </w:r>
          </w:p>
        </w:tc>
        <w:tc>
          <w:tcPr>
            <w:tcW w:w="1416" w:type="pct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钢砼，平均深度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2.50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szCs w:val="24"/>
              </w:rPr>
              <w:t>（2）</w:t>
            </w:r>
          </w:p>
        </w:tc>
        <w:tc>
          <w:tcPr>
            <w:tcW w:w="9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圆形预制装配式排泥湿井</w:t>
            </w:r>
          </w:p>
        </w:tc>
        <w:tc>
          <w:tcPr>
            <w:tcW w:w="1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φ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1100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mm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座</w:t>
            </w:r>
          </w:p>
        </w:tc>
        <w:tc>
          <w:tcPr>
            <w:tcW w:w="42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仿宋_GB2312" w:hAnsi="华文中宋" w:eastAsia="仿宋_GB2312"/>
                <w:color w:val="FF0000"/>
                <w:sz w:val="24"/>
                <w:szCs w:val="24"/>
              </w:rPr>
              <w:t>1</w:t>
            </w:r>
          </w:p>
        </w:tc>
        <w:tc>
          <w:tcPr>
            <w:tcW w:w="1416" w:type="pct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钢砼，平均深度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2.50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9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矩形立式阀门井</w:t>
            </w:r>
          </w:p>
        </w:tc>
        <w:tc>
          <w:tcPr>
            <w:tcW w:w="1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华文中宋" w:eastAsia="仿宋_GB2312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3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.0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m×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1.5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m×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2.50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华文中宋" w:eastAsia="仿宋_GB2312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座</w:t>
            </w:r>
          </w:p>
        </w:tc>
        <w:tc>
          <w:tcPr>
            <w:tcW w:w="42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华文中宋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color w:val="FF0000"/>
                <w:sz w:val="24"/>
                <w:szCs w:val="24"/>
              </w:rPr>
              <w:t>1</w:t>
            </w:r>
          </w:p>
        </w:tc>
        <w:tc>
          <w:tcPr>
            <w:tcW w:w="1416" w:type="pct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华文中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钢筋混凝土</w:t>
            </w:r>
          </w:p>
        </w:tc>
      </w:tr>
    </w:tbl>
    <w:p>
      <w:pPr>
        <w:spacing w:line="360" w:lineRule="auto"/>
        <w:ind w:firstLine="560" w:firstLineChars="200"/>
        <w:rPr>
          <w:rFonts w:ascii="仿宋_GB2312" w:hAnsi="Times New Roman" w:eastAsia="仿宋_GB2312"/>
          <w:color w:val="auto"/>
          <w:szCs w:val="24"/>
        </w:rPr>
      </w:pPr>
      <w:r>
        <w:rPr>
          <w:rFonts w:hint="eastAsia" w:ascii="仿宋_GB2312" w:hAnsi="Times New Roman" w:eastAsia="仿宋_GB2312"/>
          <w:color w:val="auto"/>
          <w:szCs w:val="24"/>
        </w:rPr>
        <w:t>为提高工程质量、加快建设进度设计阀门井均采用圆形预制装配式阀门井。检查井采用预制保温井圈及木盖板，井盖应须具有防盗功能，并于检查井内安装防坠落装置。管道附属构筑物规格型号详见下表。</w:t>
      </w:r>
    </w:p>
    <w:p>
      <w:pPr>
        <w:adjustRightInd w:val="0"/>
        <w:snapToGrid w:val="0"/>
        <w:spacing w:before="120" w:beforeLines="50"/>
        <w:jc w:val="center"/>
        <w:rPr>
          <w:rFonts w:ascii="仿宋_GB2312" w:eastAsia="仿宋_GB2312" w:cs="宋体"/>
          <w:b/>
          <w:color w:val="auto"/>
          <w:kern w:val="0"/>
        </w:rPr>
      </w:pPr>
      <w:r>
        <w:rPr>
          <w:rFonts w:hint="eastAsia" w:ascii="仿宋_GB2312" w:eastAsia="仿宋_GB2312" w:cs="宋体"/>
          <w:b/>
          <w:color w:val="auto"/>
          <w:kern w:val="0"/>
        </w:rPr>
        <w:t>管道附属构筑物表</w:t>
      </w:r>
    </w:p>
    <w:p>
      <w:pPr>
        <w:spacing w:line="360" w:lineRule="auto"/>
        <w:ind w:firstLine="560" w:firstLineChars="200"/>
        <w:rPr>
          <w:rFonts w:ascii="仿宋_GB2312" w:hAnsi="Times New Roman" w:eastAsia="仿宋_GB2312"/>
          <w:color w:val="auto"/>
          <w:szCs w:val="24"/>
        </w:rPr>
      </w:pPr>
    </w:p>
    <w:p>
      <w:pPr>
        <w:spacing w:line="360" w:lineRule="auto"/>
        <w:ind w:firstLine="560" w:firstLineChars="200"/>
        <w:rPr>
          <w:rFonts w:ascii="仿宋_GB2312" w:hAnsi="Times New Roman" w:eastAsia="仿宋_GB2312"/>
          <w:color w:val="auto"/>
        </w:rPr>
      </w:pPr>
      <w:r>
        <w:rPr>
          <w:rFonts w:ascii="仿宋_GB2312" w:hAnsi="Times New Roman" w:eastAsia="仿宋_GB2312"/>
          <w:color w:val="auto"/>
          <w:szCs w:val="24"/>
        </w:rPr>
        <w:br w:type="page"/>
      </w:r>
    </w:p>
    <w:p>
      <w:pPr>
        <w:adjustRightInd w:val="0"/>
        <w:snapToGrid w:val="0"/>
        <w:spacing w:line="360" w:lineRule="auto"/>
        <w:ind w:firstLine="560"/>
        <w:rPr>
          <w:rFonts w:hint="eastAsia" w:ascii="仿宋_GB2312" w:hAnsi="Times New Roman" w:eastAsia="仿宋_GB2312"/>
          <w:color w:val="auto"/>
        </w:rPr>
      </w:pPr>
      <w:r>
        <w:rPr>
          <w:rFonts w:hint="eastAsia" w:ascii="仿宋_GB2312" w:hAnsi="Times New Roman" w:eastAsia="仿宋_GB2312"/>
          <w:color w:val="auto"/>
        </w:rPr>
        <w:t>为了避免排水管下由益民煤矿钻孔下井时产生负压，形成水锤，破坏排水管线，造成漏水、跑水，影响井下正常生产，在益民煤矿钻孔附近设缓冲水池一座，</w:t>
      </w:r>
      <w:r>
        <w:rPr>
          <w:rFonts w:hint="eastAsia" w:ascii="仿宋_GB2312" w:eastAsia="仿宋_GB2312" w:cs="宋体"/>
          <w:color w:val="FF0000"/>
          <w:kern w:val="0"/>
        </w:rPr>
        <w:t>水池容积300m</w:t>
      </w:r>
      <w:r>
        <w:rPr>
          <w:rFonts w:hint="eastAsia" w:ascii="仿宋_GB2312" w:eastAsia="仿宋_GB2312" w:cs="宋体"/>
          <w:color w:val="FF0000"/>
          <w:kern w:val="0"/>
          <w:vertAlign w:val="superscript"/>
        </w:rPr>
        <w:t>3</w:t>
      </w:r>
      <w:r>
        <w:rPr>
          <w:rFonts w:hint="eastAsia" w:ascii="仿宋_GB2312" w:eastAsia="仿宋_GB2312" w:cs="宋体"/>
          <w:color w:val="FF0000"/>
          <w:kern w:val="0"/>
        </w:rPr>
        <w:t>，尺寸为</w:t>
      </w:r>
      <w:r>
        <w:rPr>
          <w:rFonts w:ascii="仿宋_GB2312" w:eastAsia="仿宋_GB2312" w:cs="宋体"/>
          <w:color w:val="FF0000"/>
          <w:kern w:val="0"/>
        </w:rPr>
        <w:t>9.9</w:t>
      </w:r>
      <w:r>
        <w:rPr>
          <w:rFonts w:hint="eastAsia" w:ascii="仿宋_GB2312" w:eastAsia="仿宋_GB2312" w:cs="宋体"/>
          <w:color w:val="FF0000"/>
          <w:kern w:val="0"/>
        </w:rPr>
        <w:t>m×</w:t>
      </w:r>
      <w:r>
        <w:rPr>
          <w:rFonts w:ascii="仿宋_GB2312" w:eastAsia="仿宋_GB2312" w:cs="宋体"/>
          <w:color w:val="FF0000"/>
          <w:kern w:val="0"/>
        </w:rPr>
        <w:t>9.9</w:t>
      </w:r>
      <w:r>
        <w:rPr>
          <w:rFonts w:hint="eastAsia" w:ascii="仿宋_GB2312" w:eastAsia="仿宋_GB2312" w:cs="宋体"/>
          <w:color w:val="FF0000"/>
          <w:kern w:val="0"/>
        </w:rPr>
        <w:t>m×</w:t>
      </w:r>
      <w:r>
        <w:rPr>
          <w:rFonts w:ascii="仿宋_GB2312" w:eastAsia="仿宋_GB2312" w:cs="宋体"/>
          <w:color w:val="FF0000"/>
          <w:kern w:val="0"/>
        </w:rPr>
        <w:t>3.5</w:t>
      </w:r>
      <w:r>
        <w:rPr>
          <w:rFonts w:hint="eastAsia" w:ascii="仿宋_GB2312" w:eastAsia="仿宋_GB2312" w:cs="宋体"/>
          <w:color w:val="FF0000"/>
          <w:kern w:val="0"/>
        </w:rPr>
        <w:t>m（或1</w:t>
      </w:r>
      <w:r>
        <w:rPr>
          <w:rFonts w:ascii="仿宋_GB2312" w:eastAsia="仿宋_GB2312" w:cs="宋体"/>
          <w:color w:val="FF0000"/>
          <w:kern w:val="0"/>
        </w:rPr>
        <w:t>3.9</w:t>
      </w:r>
      <w:r>
        <w:rPr>
          <w:rFonts w:hint="eastAsia" w:ascii="仿宋_GB2312" w:eastAsia="仿宋_GB2312" w:cs="宋体"/>
          <w:color w:val="FF0000"/>
          <w:kern w:val="0"/>
        </w:rPr>
        <w:t>m×</w:t>
      </w:r>
      <w:r>
        <w:rPr>
          <w:rFonts w:ascii="仿宋_GB2312" w:eastAsia="仿宋_GB2312" w:cs="宋体"/>
          <w:color w:val="FF0000"/>
          <w:kern w:val="0"/>
        </w:rPr>
        <w:t>6.9</w:t>
      </w:r>
      <w:r>
        <w:rPr>
          <w:rFonts w:hint="eastAsia" w:ascii="仿宋_GB2312" w:eastAsia="仿宋_GB2312" w:cs="宋体"/>
          <w:color w:val="FF0000"/>
          <w:kern w:val="0"/>
        </w:rPr>
        <w:t>m×3</w:t>
      </w:r>
      <w:r>
        <w:rPr>
          <w:rFonts w:ascii="仿宋_GB2312" w:eastAsia="仿宋_GB2312" w:cs="宋体"/>
          <w:color w:val="FF0000"/>
          <w:kern w:val="0"/>
        </w:rPr>
        <w:t>.5</w:t>
      </w:r>
      <w:r>
        <w:rPr>
          <w:rFonts w:hint="eastAsia" w:ascii="仿宋_GB2312" w:eastAsia="仿宋_GB2312" w:cs="宋体"/>
          <w:color w:val="FF0000"/>
          <w:kern w:val="0"/>
        </w:rPr>
        <w:t>m），</w:t>
      </w:r>
      <w:r>
        <w:rPr>
          <w:rFonts w:hint="eastAsia" w:ascii="仿宋_GB2312" w:hAnsi="Times New Roman" w:eastAsia="仿宋_GB2312"/>
          <w:color w:val="auto"/>
        </w:rPr>
        <w:t>钢筋混凝土结构，室外埋地设置。</w:t>
      </w:r>
    </w:p>
    <w:p>
      <w:pPr>
        <w:adjustRightInd w:val="0"/>
        <w:snapToGrid w:val="0"/>
        <w:spacing w:line="360" w:lineRule="auto"/>
        <w:rPr>
          <w:rFonts w:hint="eastAsia" w:ascii="仿宋_GB2312" w:hAnsi="Times New Roman" w:eastAsia="仿宋_GB2312"/>
          <w:color w:val="auto"/>
          <w:lang w:val="en-US" w:eastAsia="zh-CN"/>
        </w:rPr>
      </w:pPr>
      <w:r>
        <w:rPr>
          <w:rFonts w:hint="eastAsia" w:ascii="仿宋_GB2312" w:hAnsi="Times New Roman" w:eastAsia="仿宋_GB2312"/>
          <w:color w:val="auto"/>
          <w:lang w:val="en-US" w:eastAsia="zh-CN"/>
        </w:rPr>
        <w:t>备注：详细施工要求需进行现场勘查后敲定。</w:t>
      </w:r>
      <w:bookmarkStart w:id="1" w:name="_GoBack"/>
      <w:bookmarkEnd w:id="1"/>
    </w:p>
    <w:p>
      <w:pPr>
        <w:adjustRightInd w:val="0"/>
        <w:snapToGrid w:val="0"/>
        <w:spacing w:line="360" w:lineRule="auto"/>
        <w:ind w:firstLine="560"/>
        <w:rPr>
          <w:rFonts w:hint="eastAsia" w:ascii="仿宋_GB2312" w:hAnsi="Times New Roman" w:eastAsia="仿宋_GB2312"/>
          <w:color w:val="auto"/>
        </w:rPr>
      </w:pPr>
    </w:p>
    <w:p>
      <w:pPr>
        <w:adjustRightInd w:val="0"/>
        <w:snapToGrid w:val="0"/>
        <w:spacing w:line="360" w:lineRule="auto"/>
        <w:ind w:firstLine="560"/>
        <w:rPr>
          <w:rFonts w:hint="eastAsia" w:ascii="仿宋_GB2312" w:hAnsi="Times New Roman" w:eastAsia="仿宋_GB2312"/>
          <w:color w:val="auto"/>
        </w:rPr>
      </w:pPr>
    </w:p>
    <w:p>
      <w:pPr>
        <w:adjustRightInd w:val="0"/>
        <w:snapToGrid w:val="0"/>
        <w:spacing w:line="360" w:lineRule="auto"/>
        <w:ind w:firstLine="560"/>
        <w:jc w:val="right"/>
        <w:rPr>
          <w:rFonts w:hint="eastAsia" w:ascii="仿宋_GB2312" w:hAnsi="Times New Roman" w:eastAsia="仿宋_GB2312"/>
          <w:color w:val="auto"/>
          <w:lang w:eastAsia="zh-CN"/>
        </w:rPr>
      </w:pPr>
    </w:p>
    <w:p>
      <w:pPr>
        <w:adjustRightInd w:val="0"/>
        <w:snapToGrid w:val="0"/>
        <w:spacing w:line="360" w:lineRule="auto"/>
        <w:ind w:firstLine="560"/>
        <w:jc w:val="right"/>
        <w:rPr>
          <w:rFonts w:hint="eastAsia" w:ascii="仿宋_GB2312" w:hAnsi="Times New Roman" w:eastAsia="仿宋_GB2312"/>
          <w:color w:val="auto"/>
          <w:lang w:eastAsia="zh-CN"/>
        </w:rPr>
      </w:pPr>
    </w:p>
    <w:p>
      <w:pPr>
        <w:adjustRightInd w:val="0"/>
        <w:snapToGrid w:val="0"/>
        <w:spacing w:line="360" w:lineRule="auto"/>
        <w:ind w:firstLine="560"/>
        <w:jc w:val="right"/>
        <w:rPr>
          <w:rFonts w:hint="eastAsia" w:ascii="仿宋_GB2312" w:hAnsi="Times New Roman" w:eastAsia="仿宋_GB2312"/>
          <w:color w:val="auto"/>
          <w:lang w:eastAsia="zh-CN"/>
        </w:rPr>
      </w:pPr>
    </w:p>
    <w:p>
      <w:pPr>
        <w:adjustRightInd w:val="0"/>
        <w:snapToGrid w:val="0"/>
        <w:spacing w:line="360" w:lineRule="auto"/>
        <w:ind w:firstLine="560"/>
        <w:jc w:val="right"/>
        <w:rPr>
          <w:rFonts w:hint="eastAsia" w:ascii="仿宋_GB2312" w:hAnsi="Times New Roman" w:eastAsia="仿宋_GB2312"/>
          <w:color w:val="auto"/>
          <w:lang w:eastAsia="zh-CN"/>
        </w:rPr>
      </w:pPr>
    </w:p>
    <w:p>
      <w:pPr>
        <w:adjustRightInd w:val="0"/>
        <w:snapToGrid w:val="0"/>
        <w:spacing w:line="360" w:lineRule="auto"/>
        <w:ind w:firstLine="560"/>
        <w:jc w:val="center"/>
        <w:rPr>
          <w:rFonts w:hint="eastAsia" w:ascii="仿宋_GB2312" w:hAnsi="Times New Roman" w:eastAsia="仿宋_GB2312"/>
          <w:color w:val="auto"/>
          <w:lang w:eastAsia="zh-CN"/>
        </w:rPr>
      </w:pPr>
      <w:r>
        <w:rPr>
          <w:rFonts w:hint="eastAsia" w:ascii="仿宋_GB2312" w:hAnsi="Times New Roman" w:eastAsia="仿宋_GB2312"/>
          <w:color w:val="auto"/>
          <w:lang w:val="en-US" w:eastAsia="zh-CN"/>
        </w:rPr>
        <w:t xml:space="preserve">                           </w:t>
      </w:r>
      <w:r>
        <w:rPr>
          <w:rFonts w:hint="eastAsia" w:ascii="仿宋_GB2312" w:hAnsi="Times New Roman" w:eastAsia="仿宋_GB2312"/>
          <w:color w:val="auto"/>
          <w:lang w:eastAsia="zh-CN"/>
        </w:rPr>
        <w:t>伊金霍洛旗东博煤炭有限责任公司</w:t>
      </w:r>
    </w:p>
    <w:p>
      <w:pPr>
        <w:adjustRightInd w:val="0"/>
        <w:snapToGrid w:val="0"/>
        <w:spacing w:line="360" w:lineRule="auto"/>
        <w:ind w:firstLine="560"/>
        <w:jc w:val="right"/>
        <w:rPr>
          <w:rFonts w:hint="eastAsia" w:ascii="仿宋_GB2312" w:hAnsi="Times New Roman" w:eastAsia="仿宋_GB2312"/>
          <w:color w:val="auto"/>
          <w:lang w:eastAsia="zh-CN"/>
        </w:rPr>
      </w:pPr>
    </w:p>
    <w:p>
      <w:pPr>
        <w:adjustRightInd w:val="0"/>
        <w:snapToGrid w:val="0"/>
        <w:spacing w:line="360" w:lineRule="auto"/>
        <w:ind w:firstLine="560"/>
        <w:jc w:val="center"/>
        <w:rPr>
          <w:rFonts w:hint="eastAsia" w:ascii="仿宋_GB2312" w:hAnsi="Times New Roman" w:eastAsia="仿宋_GB2312"/>
          <w:color w:val="auto"/>
        </w:rPr>
      </w:pPr>
      <w:r>
        <w:rPr>
          <w:rFonts w:hint="eastAsia" w:ascii="仿宋_GB2312" w:hAnsi="Times New Roman" w:eastAsia="仿宋_GB2312"/>
          <w:color w:val="auto"/>
          <w:lang w:val="en-US" w:eastAsia="zh-CN"/>
        </w:rPr>
        <w:t xml:space="preserve">                             </w:t>
      </w:r>
      <w:r>
        <w:rPr>
          <w:rFonts w:hint="eastAsia" w:ascii="仿宋_GB2312" w:hAnsi="Times New Roman" w:eastAsia="仿宋_GB2312"/>
          <w:color w:val="auto"/>
          <w:lang w:eastAsia="zh-CN"/>
        </w:rPr>
        <w:t>2021年10月</w:t>
      </w:r>
      <w:r>
        <w:rPr>
          <w:rFonts w:hint="eastAsia" w:ascii="仿宋_GB2312" w:hAnsi="Times New Roman" w:eastAsia="仿宋_GB2312"/>
          <w:color w:val="auto"/>
          <w:lang w:val="en-US" w:eastAsia="zh-CN"/>
        </w:rPr>
        <w:t>20</w:t>
      </w:r>
      <w:r>
        <w:rPr>
          <w:rFonts w:hint="eastAsia" w:ascii="仿宋_GB2312" w:hAnsi="Times New Roman" w:eastAsia="仿宋_GB2312"/>
          <w:color w:val="auto"/>
          <w:lang w:eastAsia="zh-CN"/>
        </w:rPr>
        <w:t>日</w:t>
      </w:r>
    </w:p>
    <w:sectPr>
      <w:headerReference r:id="rId3" w:type="default"/>
      <w:footerReference r:id="rId4" w:type="default"/>
      <w:pgSz w:w="11906" w:h="16838"/>
      <w:pgMar w:top="1440" w:right="1440" w:bottom="1440" w:left="1440" w:header="851" w:footer="992" w:gutter="0"/>
      <w:paperSrc w:first="7" w:other="7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汉鼎简书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rPr>
        <w:b/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43EF09-5F94-46DB-BE0E-152CB7C978B7}">
  <ds:schemaRefs/>
</ds:datastoreItem>
</file>