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0470E">
      <w:pPr>
        <w:ind w:firstLine="0" w:firstLineChars="0"/>
        <w:jc w:val="center"/>
        <w:rPr>
          <w:b/>
          <w:bCs/>
          <w:sz w:val="44"/>
          <w:szCs w:val="44"/>
          <w:highlight w:val="none"/>
        </w:rPr>
      </w:pPr>
      <w:r>
        <w:rPr>
          <w:rFonts w:hint="eastAsia"/>
          <w:b/>
          <w:bCs/>
          <w:sz w:val="44"/>
          <w:szCs w:val="44"/>
          <w:highlight w:val="none"/>
          <w:lang w:val="en-US" w:eastAsia="zh-CN"/>
        </w:rPr>
        <w:t>内</w:t>
      </w:r>
      <w:r>
        <w:rPr>
          <w:rFonts w:hint="eastAsia"/>
          <w:b/>
          <w:bCs/>
          <w:sz w:val="44"/>
          <w:szCs w:val="44"/>
          <w:highlight w:val="none"/>
        </w:rPr>
        <w:t>蒙古卓正煤化工有限公司</w:t>
      </w:r>
    </w:p>
    <w:p w14:paraId="42FD5980">
      <w:pPr>
        <w:ind w:firstLine="0" w:firstLineChars="0"/>
        <w:jc w:val="center"/>
        <w:rPr>
          <w:rFonts w:hint="eastAsia" w:ascii="宋体" w:hAnsi="宋体" w:cs="宋体"/>
          <w:b/>
          <w:bCs/>
          <w:color w:val="auto"/>
          <w:w w:val="98"/>
          <w:kern w:val="0"/>
          <w:sz w:val="44"/>
          <w:szCs w:val="44"/>
          <w:highlight w:val="none"/>
        </w:rPr>
      </w:pPr>
      <w:r>
        <w:rPr>
          <w:rFonts w:hint="eastAsia"/>
          <w:b/>
          <w:bCs/>
          <w:sz w:val="44"/>
          <w:szCs w:val="44"/>
          <w:highlight w:val="none"/>
          <w:lang w:val="en-US" w:eastAsia="zh-CN"/>
        </w:rPr>
        <w:t>年产120万吨煤制甲醇优化变更为年产100万吨煤制甲醇项目、</w:t>
      </w:r>
      <w:r>
        <w:rPr>
          <w:rFonts w:hint="eastAsia"/>
          <w:b/>
          <w:bCs/>
          <w:sz w:val="44"/>
          <w:szCs w:val="44"/>
          <w:highlight w:val="none"/>
        </w:rPr>
        <w:t>甲醇醋酸延链优化深加工与综合利用生产高端化学品</w:t>
      </w:r>
      <w:r>
        <w:rPr>
          <w:rFonts w:hint="eastAsia"/>
          <w:b/>
          <w:bCs/>
          <w:sz w:val="44"/>
          <w:szCs w:val="44"/>
          <w:highlight w:val="none"/>
          <w:lang w:val="en-US" w:eastAsia="zh-CN"/>
        </w:rPr>
        <w:t>及新材料项目和</w:t>
      </w:r>
      <w:r>
        <w:rPr>
          <w:rFonts w:hint="eastAsia"/>
          <w:b/>
          <w:bCs/>
          <w:sz w:val="44"/>
          <w:szCs w:val="44"/>
          <w:highlight w:val="none"/>
        </w:rPr>
        <w:t>新材料项目</w:t>
      </w:r>
      <w:r>
        <w:rPr>
          <w:rFonts w:hint="eastAsia"/>
          <w:b/>
          <w:bCs/>
          <w:sz w:val="44"/>
          <w:szCs w:val="44"/>
          <w:highlight w:val="none"/>
          <w:lang w:val="en-US" w:eastAsia="zh-CN"/>
        </w:rPr>
        <w:t>甲醇精馏泵</w:t>
      </w:r>
      <w:r>
        <w:rPr>
          <w:rFonts w:hint="eastAsia" w:ascii="宋体" w:hAnsi="宋体" w:cs="宋体"/>
          <w:b/>
          <w:bCs/>
          <w:color w:val="auto"/>
          <w:w w:val="98"/>
          <w:kern w:val="0"/>
          <w:sz w:val="44"/>
          <w:szCs w:val="44"/>
          <w:highlight w:val="none"/>
        </w:rPr>
        <w:t>招标报名</w:t>
      </w:r>
    </w:p>
    <w:p w14:paraId="7E883298">
      <w:pPr>
        <w:ind w:firstLine="0" w:firstLineChars="0"/>
        <w:jc w:val="center"/>
        <w:rPr>
          <w:rFonts w:asciiTheme="minorEastAsia" w:hAnsiTheme="minorEastAsia"/>
          <w:color w:val="auto"/>
          <w:sz w:val="44"/>
          <w:szCs w:val="44"/>
          <w:highlight w:val="none"/>
        </w:rPr>
      </w:pPr>
      <w:r>
        <w:rPr>
          <w:rFonts w:hint="eastAsia" w:ascii="宋体" w:hAnsi="宋体" w:cs="宋体"/>
          <w:b/>
          <w:bCs/>
          <w:color w:val="auto"/>
          <w:w w:val="98"/>
          <w:kern w:val="0"/>
          <w:sz w:val="44"/>
          <w:szCs w:val="44"/>
          <w:highlight w:val="none"/>
        </w:rPr>
        <w:t>暨资格预审公告</w:t>
      </w:r>
    </w:p>
    <w:p w14:paraId="34FE47CC">
      <w:pPr>
        <w:pStyle w:val="8"/>
        <w:keepNext w:val="0"/>
        <w:keepLines w:val="0"/>
        <w:pageBreakBefore w:val="0"/>
        <w:widowControl/>
        <w:kinsoku/>
        <w:wordWrap/>
        <w:overflowPunct/>
        <w:topLinePunct w:val="0"/>
        <w:autoSpaceDE/>
        <w:autoSpaceDN/>
        <w:bidi w:val="0"/>
        <w:spacing w:line="560" w:lineRule="exact"/>
        <w:ind w:firstLine="640" w:firstLineChars="200"/>
        <w:contextualSpacing/>
        <w:jc w:val="both"/>
        <w:textAlignment w:val="auto"/>
        <w:rPr>
          <w:rFonts w:hint="eastAsia" w:ascii="仿宋" w:hAnsi="仿宋" w:eastAsia="仿宋" w:cs="仿宋"/>
          <w:color w:val="000000" w:themeColor="text1"/>
          <w:sz w:val="32"/>
          <w:szCs w:val="32"/>
          <w:highlight w:val="none"/>
          <w14:textFill>
            <w14:solidFill>
              <w14:schemeClr w14:val="tx1"/>
            </w14:solidFill>
          </w14:textFill>
        </w:rPr>
      </w:pPr>
      <w:r>
        <w:rPr>
          <w:rFonts w:hint="eastAsia" w:ascii="仿宋" w:hAnsi="仿宋" w:eastAsia="仿宋" w:cs="仿宋"/>
          <w:color w:val="auto"/>
          <w:sz w:val="32"/>
          <w:szCs w:val="32"/>
          <w:highlight w:val="none"/>
          <w:lang w:val="en-US" w:eastAsia="zh-CN"/>
        </w:rPr>
        <w:t>内蒙古卓正煤化工有限公司年产120万吨煤制甲醇优化变更为年产100万吨煤制甲醇项目、甲醇醋酸延链优化深加工与综合利用生产高端化学品及新材料项目和新材料项目甲醇精馏泵</w:t>
      </w:r>
      <w:r>
        <w:rPr>
          <w:rFonts w:hint="eastAsia" w:ascii="仿宋" w:hAnsi="仿宋" w:eastAsia="仿宋" w:cs="仿宋"/>
          <w:color w:val="000000" w:themeColor="text1"/>
          <w:sz w:val="32"/>
          <w:szCs w:val="32"/>
          <w:highlight w:val="none"/>
          <w14:textFill>
            <w14:solidFill>
              <w14:schemeClr w14:val="tx1"/>
            </w14:solidFill>
          </w14:textFill>
        </w:rPr>
        <w:t>进行投标单位报名暨资格预审，具体说明及要求如下：</w:t>
      </w:r>
    </w:p>
    <w:p w14:paraId="20E7C3E3">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1、项目概况</w:t>
      </w:r>
    </w:p>
    <w:p w14:paraId="55DC3231">
      <w:pPr>
        <w:pStyle w:val="8"/>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b/>
          <w:bCs/>
          <w:color w:val="auto"/>
          <w:kern w:val="0"/>
          <w:sz w:val="32"/>
          <w:szCs w:val="32"/>
          <w:highlight w:val="none"/>
          <w:lang w:val="en-US" w:eastAsia="zh-CN" w:bidi="ar-SA"/>
        </w:rPr>
        <w:t>1.1项目简介：</w:t>
      </w:r>
      <w:r>
        <w:rPr>
          <w:rFonts w:hint="eastAsia" w:ascii="仿宋" w:hAnsi="仿宋" w:eastAsia="仿宋" w:cs="仿宋"/>
          <w:b w:val="0"/>
          <w:bCs w:val="0"/>
          <w:color w:val="auto"/>
          <w:sz w:val="32"/>
          <w:szCs w:val="32"/>
          <w:highlight w:val="none"/>
          <w:lang w:val="en-US" w:eastAsia="zh-CN"/>
        </w:rPr>
        <w:t>内</w:t>
      </w:r>
      <w:r>
        <w:rPr>
          <w:rFonts w:hint="eastAsia" w:ascii="仿宋" w:hAnsi="仿宋" w:eastAsia="仿宋" w:cs="仿宋"/>
          <w:color w:val="auto"/>
          <w:sz w:val="32"/>
          <w:szCs w:val="32"/>
          <w:highlight w:val="none"/>
          <w:lang w:val="en-US" w:eastAsia="zh-CN"/>
        </w:rPr>
        <w:t>蒙古卓正煤化工有限公司是内蒙古汇能煤电集团有限公司响</w:t>
      </w:r>
      <w:r>
        <w:rPr>
          <w:rFonts w:hint="eastAsia" w:ascii="仿宋" w:hAnsi="仿宋" w:eastAsia="仿宋" w:cs="仿宋"/>
          <w:color w:val="auto"/>
          <w:sz w:val="32"/>
          <w:szCs w:val="32"/>
          <w:highlight w:val="none"/>
        </w:rPr>
        <w:t>应自治区“五个大起底”行动方案</w:t>
      </w:r>
      <w:r>
        <w:rPr>
          <w:rFonts w:hint="eastAsia" w:ascii="仿宋" w:hAnsi="仿宋" w:eastAsia="仿宋" w:cs="仿宋"/>
          <w:color w:val="auto"/>
          <w:sz w:val="32"/>
          <w:szCs w:val="32"/>
          <w:highlight w:val="none"/>
          <w:lang w:val="en-US" w:eastAsia="zh-CN"/>
        </w:rPr>
        <w:t>，从解决历史遗留问题、缓解社会压力大局出发，以推进能源经济多元化、低碳化、高端化发展为目标，收购的全资子公司</w:t>
      </w:r>
      <w:r>
        <w:rPr>
          <w:rFonts w:hint="eastAsia" w:ascii="仿宋" w:hAnsi="仿宋" w:eastAsia="仿宋" w:cs="仿宋"/>
          <w:color w:val="auto"/>
          <w:sz w:val="32"/>
          <w:szCs w:val="32"/>
          <w:highlight w:val="none"/>
          <w:lang w:eastAsia="zh-CN"/>
        </w:rPr>
        <w:t>。</w:t>
      </w:r>
    </w:p>
    <w:p w14:paraId="56BBE996">
      <w:pPr>
        <w:pStyle w:val="8"/>
        <w:keepNext w:val="0"/>
        <w:keepLines w:val="0"/>
        <w:pageBreakBefore w:val="0"/>
        <w:widowControl/>
        <w:shd w:val="clear"/>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b/>
          <w:bCs/>
          <w:color w:val="000000" w:themeColor="text1"/>
          <w:kern w:val="0"/>
          <w:sz w:val="32"/>
          <w:szCs w:val="32"/>
          <w:highlight w:val="none"/>
          <w:lang w:val="en-US" w:eastAsia="zh-CN" w:bidi="ar-SA"/>
          <w14:textFill>
            <w14:solidFill>
              <w14:schemeClr w14:val="tx1"/>
            </w14:solidFill>
          </w14:textFill>
        </w:rPr>
      </w:pPr>
      <w:r>
        <w:rPr>
          <w:rFonts w:hint="eastAsia" w:ascii="仿宋" w:hAnsi="仿宋" w:eastAsia="仿宋" w:cs="仿宋"/>
          <w:b w:val="0"/>
          <w:bCs w:val="0"/>
          <w:color w:val="000000" w:themeColor="text1"/>
          <w:kern w:val="0"/>
          <w:sz w:val="32"/>
          <w:szCs w:val="32"/>
          <w:highlight w:val="none"/>
          <w:lang w:val="en-US" w:eastAsia="zh-CN" w:bidi="ar-SA"/>
          <w14:textFill>
            <w14:solidFill>
              <w14:schemeClr w14:val="tx1"/>
            </w14:solidFill>
          </w14:textFill>
        </w:rPr>
        <w:t>内蒙古卓正煤化工有限公司年产120万吨煤制甲醇优化变更为年产100万吨煤制甲醇项目、甲醇醋酸延链优化深加工与综合利用生产高端化学品及新材料项目和新材料项目位于乌审旗苏里格经济开发区纳林河产业园，该项目在原年产120万吨甲醇和100万吨醋酸项目的基础上按照国家绿色低碳、节能环保的产业引导政策，采用先进的工艺技术，建设200万吨/年原煤预处理装置、100万吨/年甲醇装置、50万吨/年醋酸装置、60万吨/年乙醇装置、35万吨/年乙醇酸甲酯 (MG)装置、20万吨/年聚乙醇酸(PGA)装置、6万吨/年聚甲醛 (POM) 装置、液化天然气(LNG)装置等配套公辅工程。</w:t>
      </w:r>
    </w:p>
    <w:p w14:paraId="0B6D3EB4">
      <w:pPr>
        <w:pStyle w:val="8"/>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default" w:asciiTheme="minorEastAsia" w:hAnsiTheme="minorEastAsia" w:eastAsiaTheme="minorEastAsia"/>
          <w:color w:val="auto"/>
          <w:sz w:val="32"/>
          <w:szCs w:val="32"/>
          <w:highlight w:val="none"/>
          <w:lang w:val="en-US" w:eastAsia="zh-CN"/>
        </w:rPr>
      </w:pPr>
      <w:r>
        <w:rPr>
          <w:rFonts w:hint="eastAsia" w:ascii="仿宋" w:hAnsi="仿宋" w:eastAsia="仿宋" w:cs="仿宋"/>
          <w:b/>
          <w:bCs/>
          <w:color w:val="auto"/>
          <w:kern w:val="0"/>
          <w:sz w:val="32"/>
          <w:szCs w:val="32"/>
          <w:highlight w:val="none"/>
          <w:lang w:val="en-US" w:eastAsia="zh-CN" w:bidi="ar-SA"/>
        </w:rPr>
        <w:t>1.2招标人：</w:t>
      </w:r>
      <w:r>
        <w:rPr>
          <w:rFonts w:hint="eastAsia" w:ascii="仿宋" w:hAnsi="仿宋" w:eastAsia="仿宋" w:cs="仿宋"/>
          <w:color w:val="auto"/>
          <w:sz w:val="32"/>
          <w:szCs w:val="32"/>
          <w:highlight w:val="none"/>
          <w:lang w:val="en-US" w:eastAsia="zh-CN"/>
        </w:rPr>
        <w:t>内蒙古卓正煤化工有限公司</w:t>
      </w:r>
    </w:p>
    <w:p w14:paraId="74A9E960">
      <w:pPr>
        <w:pStyle w:val="8"/>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asciiTheme="minorEastAsia" w:hAnsiTheme="minorEastAsia"/>
          <w:color w:val="auto"/>
          <w:sz w:val="32"/>
          <w:szCs w:val="32"/>
          <w:highlight w:val="none"/>
        </w:rPr>
      </w:pPr>
      <w:r>
        <w:rPr>
          <w:rFonts w:hint="eastAsia" w:ascii="仿宋" w:hAnsi="仿宋" w:eastAsia="仿宋" w:cs="仿宋"/>
          <w:b/>
          <w:bCs/>
          <w:color w:val="auto"/>
          <w:kern w:val="0"/>
          <w:sz w:val="32"/>
          <w:szCs w:val="32"/>
          <w:highlight w:val="none"/>
          <w:lang w:val="en-US" w:eastAsia="zh-CN" w:bidi="ar-SA"/>
        </w:rPr>
        <w:t>1.3建设地点：</w:t>
      </w:r>
      <w:r>
        <w:rPr>
          <w:rFonts w:hint="eastAsia" w:ascii="仿宋" w:hAnsi="仿宋" w:eastAsia="仿宋" w:cs="仿宋"/>
          <w:b w:val="0"/>
          <w:bCs w:val="0"/>
          <w:color w:val="auto"/>
          <w:kern w:val="0"/>
          <w:sz w:val="32"/>
          <w:szCs w:val="32"/>
          <w:highlight w:val="none"/>
          <w:lang w:val="en-US" w:eastAsia="zh-CN" w:bidi="ar-SA"/>
        </w:rPr>
        <w:t>鄂</w:t>
      </w:r>
      <w:r>
        <w:rPr>
          <w:rFonts w:hint="eastAsia" w:ascii="仿宋" w:hAnsi="仿宋" w:eastAsia="仿宋" w:cs="仿宋"/>
          <w:color w:val="auto"/>
          <w:sz w:val="32"/>
          <w:szCs w:val="32"/>
          <w:highlight w:val="none"/>
          <w:lang w:val="en-US" w:eastAsia="zh-CN"/>
        </w:rPr>
        <w:t>尔多斯市乌审旗苏里格经济开发区纳林河产业园内蒙古卓正煤化工有限公司</w:t>
      </w:r>
    </w:p>
    <w:p w14:paraId="14C2F3BC">
      <w:pPr>
        <w:pStyle w:val="8"/>
        <w:keepNext w:val="0"/>
        <w:keepLines w:val="0"/>
        <w:pageBreakBefore w:val="0"/>
        <w:widowControl/>
        <w:kinsoku/>
        <w:wordWrap/>
        <w:overflowPunct/>
        <w:topLinePunct w:val="0"/>
        <w:autoSpaceDE/>
        <w:autoSpaceDN/>
        <w:bidi w:val="0"/>
        <w:spacing w:line="560" w:lineRule="exact"/>
        <w:ind w:firstLine="643"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bCs/>
          <w:color w:val="auto"/>
          <w:kern w:val="0"/>
          <w:sz w:val="32"/>
          <w:szCs w:val="32"/>
          <w:highlight w:val="none"/>
          <w:lang w:val="en-US" w:eastAsia="zh-CN" w:bidi="ar-SA"/>
        </w:rPr>
        <w:t>1.4招标方式：</w:t>
      </w:r>
      <w:r>
        <w:rPr>
          <w:rFonts w:hint="eastAsia" w:ascii="仿宋" w:hAnsi="仿宋" w:eastAsia="仿宋" w:cs="仿宋"/>
          <w:color w:val="auto"/>
          <w:sz w:val="32"/>
          <w:szCs w:val="32"/>
          <w:highlight w:val="none"/>
          <w:lang w:val="en-US" w:eastAsia="zh-CN"/>
        </w:rPr>
        <w:t>邀请招标</w:t>
      </w:r>
    </w:p>
    <w:p w14:paraId="1132ADF9">
      <w:pPr>
        <w:pStyle w:val="8"/>
        <w:keepNext w:val="0"/>
        <w:keepLines w:val="0"/>
        <w:pageBreakBefore w:val="0"/>
        <w:widowControl/>
        <w:numPr>
          <w:ilvl w:val="0"/>
          <w:numId w:val="3"/>
        </w:numPr>
        <w:kinsoku/>
        <w:wordWrap/>
        <w:overflowPunct/>
        <w:topLinePunct w:val="0"/>
        <w:autoSpaceDE/>
        <w:autoSpaceDN/>
        <w:bidi w:val="0"/>
        <w:snapToGrid w:val="0"/>
        <w:spacing w:before="157" w:beforeLines="50" w:line="240" w:lineRule="atLeas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b w:val="0"/>
          <w:bCs w:val="0"/>
          <w:color w:val="auto"/>
          <w:sz w:val="32"/>
          <w:szCs w:val="32"/>
          <w:highlight w:val="none"/>
        </w:rPr>
        <w:t>招标</w:t>
      </w:r>
      <w:r>
        <w:rPr>
          <w:rFonts w:hint="eastAsia" w:ascii="黑体" w:hAnsi="黑体" w:eastAsia="黑体" w:cs="黑体"/>
          <w:b w:val="0"/>
          <w:bCs w:val="0"/>
          <w:color w:val="auto"/>
          <w:sz w:val="32"/>
          <w:szCs w:val="32"/>
          <w:highlight w:val="none"/>
          <w:lang w:val="en-US" w:eastAsia="zh-CN"/>
        </w:rPr>
        <w:t>内容</w:t>
      </w:r>
    </w:p>
    <w:tbl>
      <w:tblPr>
        <w:tblStyle w:val="9"/>
        <w:tblpPr w:leftFromText="180" w:rightFromText="180" w:vertAnchor="text" w:horzAnchor="page" w:tblpX="1224" w:tblpY="764"/>
        <w:tblOverlap w:val="never"/>
        <w:tblW w:w="920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6"/>
        <w:gridCol w:w="1539"/>
        <w:gridCol w:w="1035"/>
        <w:gridCol w:w="690"/>
        <w:gridCol w:w="960"/>
        <w:gridCol w:w="1200"/>
        <w:gridCol w:w="1485"/>
        <w:gridCol w:w="1203"/>
      </w:tblGrid>
      <w:tr w14:paraId="047A1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2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F95C7">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8"/>
                <w:szCs w:val="28"/>
                <w:u w:val="none"/>
                <w:lang w:val="en-US" w:eastAsia="zh-CN" w:bidi="ar"/>
              </w:rPr>
              <w:t>标段一</w:t>
            </w:r>
          </w:p>
        </w:tc>
      </w:tr>
      <w:tr w14:paraId="2DBC9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0AC28">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装置名称</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3E953">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D0644">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泵体形式</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1084E">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设备数量</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BE2D2">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C1749">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介质特性</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46087">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额定流量</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5C1C8">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额定扬程</w:t>
            </w:r>
          </w:p>
        </w:tc>
      </w:tr>
      <w:tr w14:paraId="4054C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F2FF">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3D10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预塔回流泵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EFF8F">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OH1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EC539">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11D8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0728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F221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121.5m³/h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1343B">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63m</w:t>
            </w:r>
          </w:p>
        </w:tc>
      </w:tr>
      <w:tr w14:paraId="6BAA2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7BE5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F10B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加压塔进料泵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3416F">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BB2</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D08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787D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1BAFE">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FEB9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278.6m³/h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1721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220m</w:t>
            </w:r>
          </w:p>
        </w:tc>
      </w:tr>
      <w:tr w14:paraId="3ADA7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D679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7C11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常压塔废水泵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CBFAB">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OH1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6152B">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459E5">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3D0A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A0B6">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23.7m³/h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554FC7">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65m</w:t>
            </w:r>
          </w:p>
        </w:tc>
      </w:tr>
      <w:tr w14:paraId="74320C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1588">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58FB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回收塔进料泵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A4997">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OH1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CE1D3">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8938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EBAD7">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9577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BCE93">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40m</w:t>
            </w:r>
          </w:p>
        </w:tc>
      </w:tr>
      <w:tr w14:paraId="04FCC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8A086">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2900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回收塔废水泵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172C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OH1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EE98F">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2EF63">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AC077">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875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8E6F5">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65m</w:t>
            </w:r>
          </w:p>
        </w:tc>
      </w:tr>
      <w:tr w14:paraId="3D495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624D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7623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杂醇油泵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DF569">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OH1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EE48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2C5E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582C5">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240C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6CDDE">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43m</w:t>
            </w:r>
          </w:p>
        </w:tc>
      </w:tr>
      <w:tr w14:paraId="161C90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1D6AE">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D727E">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凝液泵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0AA25">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OH1</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4ED1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29F6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74C3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E2E5B">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148.6m³/h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7905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93m</w:t>
            </w:r>
          </w:p>
        </w:tc>
      </w:tr>
      <w:tr w14:paraId="69E13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567F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46FC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废液泵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29039">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vs4液下泵</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56658">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074C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F179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腐蚀急毒3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0EDD9">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60.5m³/h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927F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55m</w:t>
            </w:r>
          </w:p>
        </w:tc>
      </w:tr>
      <w:tr w14:paraId="27E8D3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AA773">
            <w:pPr>
              <w:spacing w:line="240" w:lineRule="atLeast"/>
              <w:jc w:val="center"/>
              <w:rPr>
                <w:rFonts w:hint="eastAsia" w:ascii="宋体" w:hAnsi="宋体" w:eastAsia="宋体" w:cs="宋体"/>
                <w:i w:val="0"/>
                <w:iCs w:val="0"/>
                <w:color w:val="000000"/>
                <w:sz w:val="22"/>
                <w:szCs w:val="22"/>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7BE51">
            <w:pPr>
              <w:spacing w:line="240" w:lineRule="atLeast"/>
              <w:jc w:val="center"/>
              <w:rPr>
                <w:rFonts w:hint="eastAsia" w:ascii="宋体" w:hAnsi="宋体" w:eastAsia="宋体" w:cs="宋体"/>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D89A7">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7FA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E2C4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60B93">
            <w:pPr>
              <w:spacing w:line="240" w:lineRule="atLeast"/>
              <w:jc w:val="center"/>
              <w:rPr>
                <w:rFonts w:hint="eastAsia" w:ascii="宋体" w:hAnsi="宋体" w:eastAsia="宋体" w:cs="宋体"/>
                <w:i w:val="0"/>
                <w:iCs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CBB0">
            <w:pPr>
              <w:spacing w:line="240" w:lineRule="atLeast"/>
              <w:jc w:val="center"/>
              <w:rPr>
                <w:rFonts w:hint="eastAsia" w:ascii="宋体" w:hAnsi="宋体" w:eastAsia="宋体" w:cs="宋体"/>
                <w:i w:val="0"/>
                <w:iCs w:val="0"/>
                <w:color w:val="000000"/>
                <w:sz w:val="22"/>
                <w:szCs w:val="22"/>
                <w:u w:val="none"/>
              </w:rPr>
            </w:pP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E222A">
            <w:pPr>
              <w:spacing w:line="240" w:lineRule="atLeast"/>
              <w:jc w:val="center"/>
              <w:rPr>
                <w:rFonts w:hint="eastAsia" w:ascii="宋体" w:hAnsi="宋体" w:eastAsia="宋体" w:cs="宋体"/>
                <w:i w:val="0"/>
                <w:iCs w:val="0"/>
                <w:color w:val="000000"/>
                <w:sz w:val="22"/>
                <w:szCs w:val="22"/>
                <w:u w:val="none"/>
              </w:rPr>
            </w:pPr>
          </w:p>
        </w:tc>
      </w:tr>
      <w:tr w14:paraId="5FCB2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9208"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392EE">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8"/>
                <w:szCs w:val="28"/>
                <w:u w:val="none"/>
                <w:lang w:val="en-US" w:eastAsia="zh-CN" w:bidi="ar"/>
              </w:rPr>
              <w:t>标段二</w:t>
            </w:r>
          </w:p>
        </w:tc>
      </w:tr>
      <w:tr w14:paraId="445F3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781B8">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装置名称</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3713F">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设备名称</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99E7">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泵体形式</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249EB">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设备数量</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C62A9">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7FD87">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介质特性</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27804">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额定流量</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D817F">
            <w:pPr>
              <w:keepNext w:val="0"/>
              <w:keepLines w:val="0"/>
              <w:widowControl/>
              <w:suppressLineNumbers w:val="0"/>
              <w:spacing w:line="240" w:lineRule="atLeas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额定扬程</w:t>
            </w:r>
          </w:p>
        </w:tc>
      </w:tr>
      <w:tr w14:paraId="1C2D8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2D0AE">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00E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加压塔回流泵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BBEA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屏蔽泵</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C798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C7E8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C6F2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C2DF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240.1m³/h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B40D6">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138m</w:t>
            </w:r>
          </w:p>
        </w:tc>
      </w:tr>
      <w:tr w14:paraId="29D21E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56393">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F2FB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中压塔回流泵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507A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屏蔽泵</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545B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511A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93424">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3EA9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208.3m³/h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AB86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103m</w:t>
            </w:r>
          </w:p>
        </w:tc>
      </w:tr>
      <w:tr w14:paraId="4D827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315B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805B3">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常压塔回流泵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7ED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屏蔽泵</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4D91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7B00B">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EBAA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B638D">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244.8m³/h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8E790">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88m</w:t>
            </w:r>
          </w:p>
        </w:tc>
      </w:tr>
      <w:tr w14:paraId="67DEA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19E56">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甲醇精馏</w:t>
            </w: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7088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回收塔回流泵</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2257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屏蔽泵</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86231">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FD1D6">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C5252">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急毒3</w:t>
            </w: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D5016">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14.1m³/h</w:t>
            </w: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FE603">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80m</w:t>
            </w:r>
          </w:p>
        </w:tc>
      </w:tr>
      <w:tr w14:paraId="7EC18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4" w:hRule="atLeast"/>
        </w:trPr>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F9DC4">
            <w:pPr>
              <w:spacing w:line="240" w:lineRule="atLeast"/>
              <w:jc w:val="center"/>
              <w:rPr>
                <w:rFonts w:hint="eastAsia" w:ascii="宋体" w:hAnsi="宋体" w:eastAsia="宋体" w:cs="宋体"/>
                <w:i w:val="0"/>
                <w:iCs w:val="0"/>
                <w:color w:val="000000"/>
                <w:sz w:val="22"/>
                <w:szCs w:val="22"/>
                <w:u w:val="none"/>
              </w:rPr>
            </w:pPr>
          </w:p>
        </w:tc>
        <w:tc>
          <w:tcPr>
            <w:tcW w:w="15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02093">
            <w:pPr>
              <w:spacing w:line="240" w:lineRule="atLeast"/>
              <w:jc w:val="center"/>
              <w:rPr>
                <w:rFonts w:hint="eastAsia" w:ascii="宋体" w:hAnsi="宋体" w:eastAsia="宋体" w:cs="宋体"/>
                <w:i w:val="0"/>
                <w:iCs w:val="0"/>
                <w:color w:val="000000"/>
                <w:sz w:val="22"/>
                <w:szCs w:val="22"/>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1943B">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E658C">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49B3A">
            <w:pPr>
              <w:keepNext w:val="0"/>
              <w:keepLines w:val="0"/>
              <w:widowControl/>
              <w:suppressLineNumbers w:val="0"/>
              <w:spacing w:line="240" w:lineRule="atLeas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08CA4">
            <w:pPr>
              <w:spacing w:line="240" w:lineRule="atLeast"/>
              <w:jc w:val="center"/>
              <w:rPr>
                <w:rFonts w:hint="eastAsia" w:ascii="宋体" w:hAnsi="宋体" w:eastAsia="宋体" w:cs="宋体"/>
                <w:i w:val="0"/>
                <w:iCs w:val="0"/>
                <w:color w:val="000000"/>
                <w:sz w:val="22"/>
                <w:szCs w:val="22"/>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4EDC0">
            <w:pPr>
              <w:spacing w:line="240" w:lineRule="atLeast"/>
              <w:jc w:val="center"/>
              <w:rPr>
                <w:rFonts w:hint="eastAsia" w:ascii="宋体" w:hAnsi="宋体" w:eastAsia="宋体" w:cs="宋体"/>
                <w:i w:val="0"/>
                <w:iCs w:val="0"/>
                <w:color w:val="000000"/>
                <w:sz w:val="22"/>
                <w:szCs w:val="22"/>
                <w:u w:val="none"/>
              </w:rPr>
            </w:pPr>
          </w:p>
        </w:tc>
        <w:tc>
          <w:tcPr>
            <w:tcW w:w="12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DE5C">
            <w:pPr>
              <w:spacing w:line="240" w:lineRule="atLeast"/>
              <w:jc w:val="center"/>
              <w:rPr>
                <w:rFonts w:hint="eastAsia" w:ascii="宋体" w:hAnsi="宋体" w:eastAsia="宋体" w:cs="宋体"/>
                <w:i w:val="0"/>
                <w:iCs w:val="0"/>
                <w:color w:val="000000"/>
                <w:sz w:val="22"/>
                <w:szCs w:val="22"/>
                <w:u w:val="none"/>
              </w:rPr>
            </w:pPr>
          </w:p>
        </w:tc>
      </w:tr>
    </w:tbl>
    <w:p w14:paraId="1A4DC8BD">
      <w:pPr>
        <w:pStyle w:val="8"/>
        <w:keepNext w:val="0"/>
        <w:keepLines w:val="0"/>
        <w:pageBreakBefore w:val="0"/>
        <w:widowControl/>
        <w:numPr>
          <w:ilvl w:val="-1"/>
          <w:numId w:val="0"/>
        </w:numPr>
        <w:kinsoku/>
        <w:wordWrap/>
        <w:overflowPunct/>
        <w:topLinePunct w:val="0"/>
        <w:autoSpaceDE/>
        <w:autoSpaceDN/>
        <w:bidi w:val="0"/>
        <w:spacing w:line="560" w:lineRule="exact"/>
        <w:ind w:firstLine="0" w:firstLineChars="0"/>
        <w:contextualSpacing/>
        <w:textAlignment w:val="auto"/>
        <w:rPr>
          <w:rFonts w:hint="eastAsia" w:ascii="黑体" w:hAnsi="黑体" w:eastAsia="黑体" w:cs="黑体"/>
          <w:b w:val="0"/>
          <w:bCs w:val="0"/>
          <w:color w:val="auto"/>
          <w:sz w:val="32"/>
          <w:szCs w:val="32"/>
          <w:highlight w:val="none"/>
          <w:lang w:val="en-US" w:eastAsia="zh-CN"/>
        </w:rPr>
      </w:pPr>
    </w:p>
    <w:p w14:paraId="2E8BF50D">
      <w:pPr>
        <w:pStyle w:val="8"/>
        <w:keepNext w:val="0"/>
        <w:keepLines w:val="0"/>
        <w:pageBreakBefore w:val="0"/>
        <w:widowControl/>
        <w:numPr>
          <w:ilvl w:val="0"/>
          <w:numId w:val="4"/>
        </w:numPr>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投标人资格要</w:t>
      </w:r>
      <w:r>
        <w:rPr>
          <w:rFonts w:hint="eastAsia" w:ascii="黑体" w:hAnsi="黑体" w:eastAsia="黑体" w:cs="黑体"/>
          <w:b w:val="0"/>
          <w:bCs w:val="0"/>
          <w:color w:val="auto"/>
          <w:sz w:val="32"/>
          <w:szCs w:val="32"/>
          <w:highlight w:val="none"/>
          <w:lang w:val="en-US" w:eastAsia="zh-CN"/>
        </w:rPr>
        <w:t>求</w:t>
      </w:r>
    </w:p>
    <w:p w14:paraId="0008E274">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baseline"/>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投标人应具有圆满履行合同的能力，包含但不限于：</w:t>
      </w:r>
    </w:p>
    <w:p w14:paraId="47E66FBE">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kern w:val="0"/>
          <w:sz w:val="32"/>
          <w:szCs w:val="32"/>
          <w:highlight w:val="none"/>
          <w:lang w:val="en-US" w:eastAsia="zh-CN" w:bidi="ar-SA"/>
        </w:rPr>
      </w:pPr>
      <w:r>
        <w:rPr>
          <w:rFonts w:hint="eastAsia" w:ascii="仿宋" w:hAnsi="仿宋" w:eastAsia="仿宋" w:cs="仿宋"/>
          <w:color w:val="auto"/>
          <w:kern w:val="0"/>
          <w:sz w:val="32"/>
          <w:szCs w:val="32"/>
          <w:highlight w:val="none"/>
          <w:lang w:val="en-US" w:eastAsia="zh-CN" w:bidi="ar-SA"/>
        </w:rPr>
        <w:t>3.1在中华人民共和国范围内注册并具有独立法人资格（《企业法人营业执照》），同时具有足够资产和能力来有效地履行合同，近三年无违法违规行为，没有处于被责令停业或破产状态，且资产未被重组、接管和冻结。</w:t>
      </w:r>
    </w:p>
    <w:p w14:paraId="2D6C1AFD">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3.2具有独立承担民事责任的能力；</w:t>
      </w:r>
    </w:p>
    <w:p w14:paraId="688BD32F">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3.3具有良好的商业信誉和健全的财务会计制度；</w:t>
      </w:r>
    </w:p>
    <w:p w14:paraId="24076051">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3.4投标人在专业技术、设备设施、人员组织、业绩经验等方面具有设计、制造、质量控制、经营管理并经国家有关部门认可的资格和能力；</w:t>
      </w:r>
    </w:p>
    <w:p w14:paraId="2DFD6A27">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3.5投标人具有完善的质量保证体系及其质量认证证明；</w:t>
      </w:r>
    </w:p>
    <w:p w14:paraId="26AC73B5">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3.6具有设计、生产制造化工离心泵或精馏屏蔽泵的能力，且</w:t>
      </w:r>
      <w:r>
        <w:rPr>
          <w:rFonts w:hint="eastAsia" w:ascii="仿宋" w:hAnsi="仿宋" w:eastAsia="仿宋" w:cs="仿宋"/>
          <w:color w:val="000000" w:themeColor="text1"/>
          <w:sz w:val="32"/>
          <w:szCs w:val="32"/>
          <w:highlight w:val="none"/>
          <w:lang w:val="en-US" w:eastAsia="zh-CN"/>
          <w14:textFill>
            <w14:solidFill>
              <w14:schemeClr w14:val="tx1"/>
            </w14:solidFill>
          </w14:textFill>
        </w:rPr>
        <w:t>5年内有3家及以上成功运行业绩证明资料，</w:t>
      </w:r>
      <w:r>
        <w:rPr>
          <w:rFonts w:hint="eastAsia" w:ascii="仿宋" w:hAnsi="仿宋" w:eastAsia="仿宋" w:cs="仿宋"/>
          <w:color w:val="auto"/>
          <w:sz w:val="32"/>
          <w:szCs w:val="32"/>
          <w:highlight w:val="none"/>
          <w:lang w:val="en-US" w:eastAsia="zh-CN"/>
        </w:rPr>
        <w:t>在安装调试运行中未发现重大设备质量问题。投标人在近年内不曾在任何合同中违约或被逐或因投标人的原因而使任何合同被解除。必须提供能够证明业绩的有效证明文件，包括合同。注：投标人所提供的业绩（包括合同）必须真实，同时配合业主随时进行验证或实地考查。如投标人提供的业绩（包括合同）与事实不符，业主有权取消投标人资格，或把提供虚假业绩的投标人（单位）纳入不诚信供应商名单。</w:t>
      </w:r>
    </w:p>
    <w:p w14:paraId="59E27F62">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3.7如标的物是国家法律、法规、部门规章及规范标准规定应具有有效生产许可证、特种设备生产许可证、制造计量器具许可证、国家强制性产品认证证书（3C认证）的，应提供证书；</w:t>
      </w:r>
    </w:p>
    <w:p w14:paraId="7DC79F89">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3.8企业法定代表人为同一个人的两个及两个以上法人，或母公司、全资子公司及其控股公司，不得在同一标的物招标中同时投标；</w:t>
      </w:r>
    </w:p>
    <w:p w14:paraId="54482898">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3.9本次招标不接受代理商、流通商、联合体投标；</w:t>
      </w:r>
    </w:p>
    <w:p w14:paraId="1A3149E2">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3.10具备法律/行政法规规定的其他必要条件；</w:t>
      </w:r>
    </w:p>
    <w:p w14:paraId="4C95526A">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4、资格预审文件编制要求（按如下内容及顺序要求）</w:t>
      </w:r>
    </w:p>
    <w:p w14:paraId="59553BC2">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4.1封面</w:t>
      </w:r>
    </w:p>
    <w:p w14:paraId="6E309CD0">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4.2投标人报名表（格式后附）</w:t>
      </w:r>
    </w:p>
    <w:p w14:paraId="2BD2DE90">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4.3法人授权书</w:t>
      </w:r>
    </w:p>
    <w:p w14:paraId="63F79451">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4.4企业营业执照</w:t>
      </w:r>
    </w:p>
    <w:p w14:paraId="5CB031C8">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4.5提供有效资质证明文件</w:t>
      </w:r>
    </w:p>
    <w:p w14:paraId="2D966B1C">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4.6近三年已审计的财务报表</w:t>
      </w:r>
    </w:p>
    <w:p w14:paraId="05224727">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4.7提供近5年内设计生产制造化工离心泵或精馏屏蔽泵设备且成功运行业绩证明资料。</w:t>
      </w:r>
    </w:p>
    <w:p w14:paraId="47616489">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4.8企业生产许可证、特种设备生产许可证、制造计量器具许可证、国家强制性产品认证证书（如涉及）</w:t>
      </w:r>
    </w:p>
    <w:p w14:paraId="18E03D3B">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4.9提供企业所获奖项证明（如有）；</w:t>
      </w:r>
    </w:p>
    <w:p w14:paraId="5C6B8F3E">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4.10其它有必要提供给招标人的资料。</w:t>
      </w:r>
      <w:bookmarkStart w:id="0" w:name="_GoBack"/>
      <w:bookmarkEnd w:id="0"/>
    </w:p>
    <w:p w14:paraId="456AB80A">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5、资格预审文件递交方式、递交时间</w:t>
      </w:r>
    </w:p>
    <w:p w14:paraId="43DA7BEA">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符合条件的意向投标人如有意参加投标，可按本公告要求编制资格预审文件，资格预审文件递交方式以下二种任选：</w:t>
      </w:r>
    </w:p>
    <w:p w14:paraId="56E03DCB">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递交方式一：以电子邮件的形式发送，要求为PDF格式，接收邮箱地址：</w:t>
      </w:r>
      <w:r>
        <w:rPr>
          <w:rFonts w:hint="eastAsia" w:ascii="仿宋" w:hAnsi="仿宋" w:eastAsia="仿宋" w:cs="仿宋"/>
          <w:color w:val="auto"/>
          <w:sz w:val="32"/>
          <w:szCs w:val="32"/>
          <w:highlight w:val="none"/>
          <w:lang w:val="en-US" w:eastAsia="zh-CN"/>
        </w:rPr>
        <w:t>zzmhgzbbj@163.com，邮件名为***公司甲醇精馏泵（</w:t>
      </w:r>
      <w:r>
        <w:rPr>
          <w:rFonts w:hint="eastAsia" w:ascii="仿宋" w:hAnsi="仿宋" w:eastAsia="仿宋" w:cs="仿宋"/>
          <w:color w:val="FF0000"/>
          <w:sz w:val="32"/>
          <w:szCs w:val="32"/>
          <w:highlight w:val="none"/>
          <w:lang w:val="en-US" w:eastAsia="zh-CN"/>
        </w:rPr>
        <w:t>标段*</w:t>
      </w:r>
      <w:r>
        <w:rPr>
          <w:rFonts w:hint="eastAsia" w:ascii="仿宋" w:hAnsi="仿宋" w:eastAsia="仿宋" w:cs="仿宋"/>
          <w:color w:val="auto"/>
          <w:sz w:val="32"/>
          <w:szCs w:val="32"/>
          <w:highlight w:val="none"/>
          <w:lang w:val="en-US" w:eastAsia="zh-CN"/>
        </w:rPr>
        <w:t>）资质预审文件</w:t>
      </w:r>
      <w:r>
        <w:rPr>
          <w:rFonts w:hint="eastAsia" w:ascii="仿宋" w:hAnsi="仿宋" w:eastAsia="仿宋" w:cs="仿宋"/>
          <w:color w:val="auto"/>
          <w:sz w:val="32"/>
          <w:szCs w:val="32"/>
          <w:highlight w:val="none"/>
        </w:rPr>
        <w:t>。</w:t>
      </w:r>
    </w:p>
    <w:p w14:paraId="185C059A">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递交方式二：现场递交</w:t>
      </w:r>
    </w:p>
    <w:p w14:paraId="307EAE6D">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地址：</w:t>
      </w:r>
      <w:r>
        <w:rPr>
          <w:rFonts w:hint="eastAsia" w:ascii="仿宋" w:hAnsi="仿宋" w:eastAsia="仿宋" w:cs="仿宋"/>
          <w:color w:val="auto"/>
          <w:sz w:val="32"/>
          <w:szCs w:val="32"/>
          <w:highlight w:val="none"/>
          <w:lang w:val="en-US" w:eastAsia="zh-CN"/>
        </w:rPr>
        <w:t>鄂尔多斯市乌审旗苏里格经济开发区纳林河产业园内蒙古卓正煤化工有限公司102室</w:t>
      </w:r>
      <w:r>
        <w:rPr>
          <w:rFonts w:hint="eastAsia" w:ascii="仿宋" w:hAnsi="仿宋" w:eastAsia="仿宋" w:cs="仿宋"/>
          <w:color w:val="auto"/>
          <w:sz w:val="32"/>
          <w:szCs w:val="32"/>
          <w:highlight w:val="none"/>
        </w:rPr>
        <w:t>。</w:t>
      </w:r>
    </w:p>
    <w:p w14:paraId="0743B7F0">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default" w:ascii="仿宋" w:hAnsi="仿宋" w:eastAsia="仿宋" w:cs="仿宋"/>
          <w:color w:val="auto"/>
          <w:sz w:val="32"/>
          <w:szCs w:val="32"/>
          <w:highlight w:val="none"/>
          <w:lang w:val="en-US"/>
        </w:rPr>
      </w:pPr>
      <w:r>
        <w:rPr>
          <w:rFonts w:hint="eastAsia" w:ascii="仿宋" w:hAnsi="仿宋" w:eastAsia="仿宋" w:cs="仿宋"/>
          <w:color w:val="auto"/>
          <w:sz w:val="32"/>
          <w:szCs w:val="32"/>
          <w:highlight w:val="none"/>
        </w:rPr>
        <w:t>联系人：</w:t>
      </w:r>
      <w:r>
        <w:rPr>
          <w:rFonts w:hint="eastAsia" w:ascii="仿宋" w:hAnsi="仿宋" w:eastAsia="仿宋" w:cs="仿宋"/>
          <w:color w:val="auto"/>
          <w:sz w:val="32"/>
          <w:szCs w:val="32"/>
          <w:highlight w:val="none"/>
          <w:lang w:val="en-US" w:eastAsia="zh-CN"/>
        </w:rPr>
        <w:t>张文俊</w:t>
      </w:r>
      <w:r>
        <w:rPr>
          <w:rFonts w:hint="eastAsia" w:ascii="仿宋" w:hAnsi="仿宋" w:eastAsia="仿宋" w:cs="仿宋"/>
          <w:color w:val="auto"/>
          <w:sz w:val="32"/>
          <w:szCs w:val="32"/>
          <w:highlight w:val="none"/>
        </w:rPr>
        <w:t> 电话：</w:t>
      </w:r>
      <w:r>
        <w:rPr>
          <w:rFonts w:hint="eastAsia" w:ascii="仿宋" w:hAnsi="仿宋" w:eastAsia="仿宋" w:cs="仿宋"/>
          <w:color w:val="auto"/>
          <w:sz w:val="32"/>
          <w:szCs w:val="32"/>
          <w:highlight w:val="none"/>
          <w:lang w:val="en-US" w:eastAsia="zh-CN"/>
        </w:rPr>
        <w:t>17747321402</w:t>
      </w:r>
    </w:p>
    <w:p w14:paraId="0ED0216F">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递交截止时间：202</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27</w:t>
      </w:r>
      <w:r>
        <w:rPr>
          <w:rFonts w:hint="eastAsia" w:ascii="仿宋" w:hAnsi="仿宋" w:eastAsia="仿宋" w:cs="仿宋"/>
          <w:color w:val="auto"/>
          <w:sz w:val="32"/>
          <w:szCs w:val="32"/>
          <w:highlight w:val="none"/>
        </w:rPr>
        <w:t>日</w:t>
      </w:r>
      <w:r>
        <w:rPr>
          <w:rFonts w:hint="eastAsia" w:ascii="仿宋" w:hAnsi="仿宋" w:eastAsia="仿宋" w:cs="仿宋"/>
          <w:color w:val="auto"/>
          <w:sz w:val="32"/>
          <w:szCs w:val="32"/>
          <w:highlight w:val="none"/>
          <w:lang w:val="en-US" w:eastAsia="zh-CN"/>
        </w:rPr>
        <w:t>上午12:00</w:t>
      </w:r>
      <w:r>
        <w:rPr>
          <w:rFonts w:hint="eastAsia" w:ascii="仿宋" w:hAnsi="仿宋" w:eastAsia="仿宋" w:cs="仿宋"/>
          <w:color w:val="auto"/>
          <w:sz w:val="32"/>
          <w:szCs w:val="32"/>
          <w:highlight w:val="none"/>
        </w:rPr>
        <w:t>前</w:t>
      </w:r>
    </w:p>
    <w:p w14:paraId="0195A0A1">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6、投标资格的确定</w:t>
      </w:r>
    </w:p>
    <w:p w14:paraId="16B4FE37">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6.1符合本公告所列的资格和条件要求并递交了资格预审文件的投标意向人并不意味着一定获得投标资格。</w:t>
      </w:r>
    </w:p>
    <w:p w14:paraId="60D65209">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6.2招标人专家组将对全部已收到的资格预审资料进行分析，并独立、自主选择、确定正式的邀请投标人名单。</w:t>
      </w:r>
    </w:p>
    <w:p w14:paraId="5797D6E7">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6.3招标人选择和确定邀请投标名单的过程和方法将不会进行公示和告知。</w:t>
      </w:r>
    </w:p>
    <w:p w14:paraId="441D2E71">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7、其他说明</w:t>
      </w:r>
    </w:p>
    <w:p w14:paraId="55B34219">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7.1本阶段不组织现场踏勘，无进一步的资料提供。</w:t>
      </w:r>
    </w:p>
    <w:p w14:paraId="0A83846C">
      <w:pPr>
        <w:pStyle w:val="8"/>
        <w:keepNext w:val="0"/>
        <w:keepLines w:val="0"/>
        <w:pageBreakBefore w:val="0"/>
        <w:widowControl/>
        <w:kinsoku/>
        <w:wordWrap/>
        <w:overflowPunct/>
        <w:topLinePunct w:val="0"/>
        <w:autoSpaceDE/>
        <w:autoSpaceDN/>
        <w:bidi w:val="0"/>
        <w:spacing w:line="560" w:lineRule="exact"/>
        <w:ind w:firstLine="640" w:firstLineChars="200"/>
        <w:contextualSpacing/>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7.2本公告的作用仅为遴选邀请投标人，具体技术及经济方面要求以正式的招标文件为准。</w:t>
      </w:r>
    </w:p>
    <w:p w14:paraId="06C7984A">
      <w:pPr>
        <w:pStyle w:val="8"/>
        <w:widowControl/>
        <w:spacing w:before="0" w:line="560" w:lineRule="exact"/>
        <w:ind w:firstLine="640" w:firstLineChars="200"/>
        <w:contextualSpacing/>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7.3本次报名暨资格预审为自愿参加，招标人不给予任何补偿，本阶段招标人不提供答疑服务。</w:t>
      </w:r>
    </w:p>
    <w:p w14:paraId="6989B9A8">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14:paraId="369F5B3C">
      <w:pPr>
        <w:pStyle w:val="8"/>
        <w:widowControl/>
        <w:spacing w:before="240" w:line="360" w:lineRule="auto"/>
        <w:contextualSpacing/>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附件:</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"http://www.huinenggroup.com/uploadfiles/file/20191008/20191008141424302430.docx" \t "http://www.huinenggroup.com/web/html/anoce/201910/_blank" </w:instrText>
      </w:r>
      <w:r>
        <w:rPr>
          <w:rFonts w:hint="eastAsia" w:ascii="仿宋" w:hAnsi="仿宋" w:eastAsia="仿宋" w:cs="仿宋"/>
          <w:color w:val="auto"/>
          <w:sz w:val="32"/>
          <w:szCs w:val="32"/>
          <w:highlight w:val="none"/>
        </w:rPr>
        <w:fldChar w:fldCharType="separate"/>
      </w:r>
      <w:r>
        <w:rPr>
          <w:rFonts w:hint="eastAsia" w:ascii="仿宋" w:hAnsi="仿宋" w:eastAsia="仿宋" w:cs="仿宋"/>
          <w:color w:val="auto"/>
          <w:sz w:val="32"/>
          <w:szCs w:val="32"/>
          <w:highlight w:val="none"/>
        </w:rPr>
        <w:t>报名登记表</w:t>
      </w:r>
      <w:r>
        <w:rPr>
          <w:rFonts w:hint="eastAsia" w:ascii="仿宋" w:hAnsi="仿宋" w:eastAsia="仿宋" w:cs="仿宋"/>
          <w:color w:val="auto"/>
          <w:sz w:val="32"/>
          <w:szCs w:val="32"/>
          <w:highlight w:val="none"/>
        </w:rPr>
        <w:fldChar w:fldCharType="end"/>
      </w:r>
    </w:p>
    <w:p w14:paraId="4CC6B2D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val="0"/>
          <w:color w:val="auto"/>
          <w:kern w:val="0"/>
          <w:sz w:val="40"/>
          <w:szCs w:val="40"/>
          <w:highlight w:val="none"/>
        </w:rPr>
      </w:pPr>
      <w:r>
        <w:rPr>
          <w:rFonts w:hint="eastAsia" w:ascii="宋体" w:hAnsi="宋体" w:eastAsia="宋体" w:cs="宋体"/>
          <w:b/>
          <w:bCs w:val="0"/>
          <w:color w:val="auto"/>
          <w:sz w:val="40"/>
          <w:szCs w:val="40"/>
          <w:highlight w:val="none"/>
        </w:rPr>
        <w:t>投标人报名登记表</w:t>
      </w:r>
    </w:p>
    <w:tbl>
      <w:tblPr>
        <w:tblStyle w:val="9"/>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097DF7F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40701C9A">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1553F286">
            <w:pPr>
              <w:widowControl/>
              <w:rPr>
                <w:rFonts w:hint="eastAsia" w:ascii="仿宋" w:hAnsi="仿宋" w:eastAsia="仿宋" w:cs="仿宋"/>
                <w:color w:val="auto"/>
                <w:kern w:val="0"/>
                <w:sz w:val="24"/>
                <w:szCs w:val="24"/>
                <w:highlight w:val="none"/>
              </w:rPr>
            </w:pPr>
          </w:p>
        </w:tc>
      </w:tr>
      <w:tr w14:paraId="7BCEE588">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06A28C04">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51DE99D6">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01271F8B">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290739E1">
            <w:pPr>
              <w:widowControl/>
              <w:rPr>
                <w:rFonts w:hint="eastAsia" w:ascii="仿宋" w:hAnsi="仿宋" w:eastAsia="仿宋" w:cs="仿宋"/>
                <w:color w:val="auto"/>
                <w:kern w:val="0"/>
                <w:sz w:val="24"/>
                <w:szCs w:val="24"/>
                <w:highlight w:val="none"/>
              </w:rPr>
            </w:pPr>
          </w:p>
        </w:tc>
      </w:tr>
      <w:tr w14:paraId="4BA5DFA7">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041D7A81">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43E1F957">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258717AC">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72234684">
            <w:pPr>
              <w:widowControl/>
              <w:rPr>
                <w:rFonts w:hint="eastAsia" w:ascii="仿宋" w:hAnsi="仿宋" w:eastAsia="仿宋" w:cs="仿宋"/>
                <w:color w:val="auto"/>
                <w:kern w:val="0"/>
                <w:sz w:val="24"/>
                <w:szCs w:val="24"/>
                <w:highlight w:val="none"/>
              </w:rPr>
            </w:pPr>
          </w:p>
        </w:tc>
      </w:tr>
      <w:tr w14:paraId="7DB7D749">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14:paraId="4494AD9A">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296FBEC2">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7FB4508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6A9257DC">
            <w:pPr>
              <w:widowControl/>
              <w:rPr>
                <w:rFonts w:hint="eastAsia" w:ascii="仿宋" w:hAnsi="仿宋" w:eastAsia="仿宋" w:cs="仿宋"/>
                <w:color w:val="auto"/>
                <w:kern w:val="0"/>
                <w:sz w:val="24"/>
                <w:szCs w:val="24"/>
                <w:highlight w:val="none"/>
              </w:rPr>
            </w:pPr>
          </w:p>
        </w:tc>
      </w:tr>
      <w:tr w14:paraId="410F940A">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0B304C3">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2A1AC632">
            <w:pPr>
              <w:widowControl/>
              <w:rPr>
                <w:rFonts w:hint="eastAsia" w:ascii="仿宋" w:hAnsi="仿宋" w:eastAsia="仿宋" w:cs="仿宋"/>
                <w:color w:val="auto"/>
                <w:kern w:val="0"/>
                <w:sz w:val="24"/>
                <w:szCs w:val="24"/>
                <w:highlight w:val="none"/>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4CB06550">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5F1506B4">
            <w:pPr>
              <w:widowControl/>
              <w:rPr>
                <w:rFonts w:hint="eastAsia" w:ascii="仿宋" w:hAnsi="仿宋" w:eastAsia="仿宋" w:cs="仿宋"/>
                <w:color w:val="auto"/>
                <w:kern w:val="0"/>
                <w:sz w:val="24"/>
                <w:szCs w:val="24"/>
                <w:highlight w:val="none"/>
              </w:rPr>
            </w:pPr>
          </w:p>
        </w:tc>
      </w:tr>
      <w:tr w14:paraId="48218B88">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35CA39EA">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03667441">
            <w:pPr>
              <w:widowControl/>
              <w:rPr>
                <w:rFonts w:hint="eastAsia" w:ascii="仿宋" w:hAnsi="仿宋" w:eastAsia="仿宋" w:cs="仿宋"/>
                <w:color w:val="auto"/>
                <w:kern w:val="0"/>
                <w:sz w:val="24"/>
                <w:szCs w:val="24"/>
                <w:highlight w:val="none"/>
              </w:rPr>
            </w:pPr>
            <w:r>
              <w:rPr>
                <w:rFonts w:hint="eastAsia" w:ascii="仿宋" w:hAnsi="仿宋" w:eastAsia="仿宋" w:cs="仿宋"/>
                <w:color w:val="auto"/>
                <w:kern w:val="0"/>
                <w:sz w:val="24"/>
                <w:szCs w:val="24"/>
                <w:highlight w:val="none"/>
              </w:rPr>
              <w:t>□国家级□省、直辖市、自治区级□地市级□县区级</w:t>
            </w:r>
          </w:p>
        </w:tc>
      </w:tr>
      <w:tr w14:paraId="5CAFB26F">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087DE80C">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183629B1">
            <w:pPr>
              <w:widowControl/>
              <w:jc w:val="left"/>
              <w:rPr>
                <w:rFonts w:hint="eastAsia" w:ascii="仿宋" w:hAnsi="仿宋" w:eastAsia="仿宋" w:cs="仿宋"/>
                <w:color w:val="auto"/>
                <w:kern w:val="0"/>
                <w:sz w:val="24"/>
                <w:szCs w:val="24"/>
                <w:highlight w:val="none"/>
                <w:u w:val="single"/>
              </w:rPr>
            </w:pPr>
            <w:r>
              <w:rPr>
                <w:rFonts w:hint="eastAsia" w:ascii="仿宋" w:hAnsi="仿宋" w:eastAsia="仿宋" w:cs="仿宋"/>
                <w:color w:val="auto"/>
                <w:kern w:val="0"/>
                <w:sz w:val="24"/>
                <w:szCs w:val="24"/>
                <w:highlight w:val="none"/>
              </w:rPr>
              <w:t>□国有□集体□私营□个体□合资□其它</w:t>
            </w:r>
          </w:p>
        </w:tc>
      </w:tr>
      <w:tr w14:paraId="1297C936">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1E0E3694">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5FD670B6">
            <w:pPr>
              <w:widowControl/>
              <w:rPr>
                <w:rFonts w:hint="eastAsia" w:ascii="仿宋" w:hAnsi="仿宋" w:eastAsia="仿宋" w:cs="仿宋"/>
                <w:color w:val="auto"/>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6D7F2D30">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3079FD9F">
            <w:pPr>
              <w:widowControl/>
              <w:rPr>
                <w:rFonts w:hint="eastAsia" w:ascii="仿宋" w:hAnsi="仿宋" w:eastAsia="仿宋" w:cs="仿宋"/>
                <w:color w:val="auto"/>
                <w:kern w:val="0"/>
                <w:sz w:val="24"/>
                <w:szCs w:val="24"/>
                <w:highlight w:val="none"/>
              </w:rPr>
            </w:pPr>
          </w:p>
        </w:tc>
      </w:tr>
      <w:tr w14:paraId="06F282DF">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4FB212B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3536D21D">
            <w:pPr>
              <w:widowControl/>
              <w:rPr>
                <w:rFonts w:hint="eastAsia" w:ascii="仿宋" w:hAnsi="仿宋" w:eastAsia="仿宋" w:cs="仿宋"/>
                <w:color w:val="auto"/>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3E934AF2">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5EA06342">
            <w:pPr>
              <w:widowControl/>
              <w:rPr>
                <w:rFonts w:hint="eastAsia" w:ascii="仿宋" w:hAnsi="仿宋" w:eastAsia="仿宋" w:cs="仿宋"/>
                <w:color w:val="auto"/>
                <w:kern w:val="0"/>
                <w:sz w:val="24"/>
                <w:szCs w:val="24"/>
                <w:highlight w:val="none"/>
              </w:rPr>
            </w:pPr>
          </w:p>
        </w:tc>
      </w:tr>
      <w:tr w14:paraId="17C58C0B">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14:paraId="644B512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4775B83A">
            <w:pPr>
              <w:widowControl/>
              <w:rPr>
                <w:rFonts w:hint="eastAsia" w:ascii="仿宋" w:hAnsi="仿宋" w:eastAsia="仿宋" w:cs="仿宋"/>
                <w:color w:val="auto"/>
                <w:kern w:val="0"/>
                <w:sz w:val="24"/>
                <w:szCs w:val="24"/>
                <w:highlight w:val="none"/>
              </w:rPr>
            </w:pPr>
          </w:p>
        </w:tc>
        <w:tc>
          <w:tcPr>
            <w:tcW w:w="1440" w:type="dxa"/>
            <w:tcBorders>
              <w:top w:val="single" w:color="auto" w:sz="6" w:space="0"/>
              <w:left w:val="single" w:color="auto" w:sz="4" w:space="0"/>
              <w:bottom w:val="single" w:color="auto" w:sz="6" w:space="0"/>
              <w:right w:val="single" w:color="auto" w:sz="4" w:space="0"/>
            </w:tcBorders>
            <w:vAlign w:val="center"/>
          </w:tcPr>
          <w:p w14:paraId="7A3581C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71B5E549">
            <w:pPr>
              <w:widowControl/>
              <w:rPr>
                <w:rFonts w:hint="eastAsia" w:ascii="仿宋" w:hAnsi="仿宋" w:eastAsia="仿宋" w:cs="仿宋"/>
                <w:color w:val="auto"/>
                <w:kern w:val="0"/>
                <w:sz w:val="24"/>
                <w:szCs w:val="24"/>
                <w:highlight w:val="none"/>
              </w:rPr>
            </w:pPr>
          </w:p>
        </w:tc>
      </w:tr>
      <w:tr w14:paraId="140A0316">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64A27C06">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28F60D0B">
            <w:pPr>
              <w:widowControl/>
              <w:rPr>
                <w:rFonts w:hint="eastAsia" w:ascii="仿宋" w:hAnsi="仿宋" w:eastAsia="仿宋" w:cs="仿宋"/>
                <w:color w:val="auto"/>
                <w:kern w:val="0"/>
                <w:sz w:val="24"/>
                <w:szCs w:val="24"/>
                <w:highlight w:val="none"/>
              </w:rPr>
            </w:pPr>
          </w:p>
        </w:tc>
      </w:tr>
      <w:tr w14:paraId="5CC70863">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78991E61">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认证情况及</w:t>
            </w:r>
          </w:p>
          <w:p w14:paraId="603B6B94">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64AB48E1">
            <w:pPr>
              <w:widowControl/>
              <w:rPr>
                <w:rFonts w:hint="eastAsia" w:ascii="仿宋" w:hAnsi="仿宋" w:eastAsia="仿宋" w:cs="仿宋"/>
                <w:color w:val="auto"/>
                <w:kern w:val="0"/>
                <w:sz w:val="24"/>
                <w:szCs w:val="24"/>
                <w:highlight w:val="none"/>
              </w:rPr>
            </w:pPr>
          </w:p>
        </w:tc>
      </w:tr>
      <w:tr w14:paraId="2F48617D">
        <w:tblPrEx>
          <w:tblCellMar>
            <w:top w:w="0" w:type="dxa"/>
            <w:left w:w="0" w:type="dxa"/>
            <w:bottom w:w="0" w:type="dxa"/>
            <w:right w:w="0" w:type="dxa"/>
          </w:tblCellMar>
        </w:tblPrEx>
        <w:trPr>
          <w:trHeight w:val="1456" w:hRule="atLeast"/>
        </w:trPr>
        <w:tc>
          <w:tcPr>
            <w:tcW w:w="1635" w:type="dxa"/>
            <w:tcBorders>
              <w:top w:val="single" w:color="auto" w:sz="6" w:space="0"/>
              <w:left w:val="single" w:color="auto" w:sz="6" w:space="0"/>
              <w:bottom w:val="single" w:color="auto" w:sz="6" w:space="0"/>
              <w:right w:val="single" w:color="auto" w:sz="6" w:space="0"/>
            </w:tcBorders>
            <w:vAlign w:val="center"/>
          </w:tcPr>
          <w:p w14:paraId="1D733BEF">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C1EE6AB">
            <w:pPr>
              <w:widowControl/>
              <w:rPr>
                <w:rFonts w:hint="eastAsia" w:ascii="仿宋" w:hAnsi="仿宋" w:eastAsia="仿宋" w:cs="仿宋"/>
                <w:color w:val="auto"/>
                <w:kern w:val="0"/>
                <w:sz w:val="24"/>
                <w:szCs w:val="24"/>
                <w:highlight w:val="none"/>
              </w:rPr>
            </w:pPr>
          </w:p>
          <w:p w14:paraId="52EB2561">
            <w:pPr>
              <w:widowControl/>
              <w:rPr>
                <w:rFonts w:hint="eastAsia" w:ascii="仿宋" w:hAnsi="仿宋" w:eastAsia="仿宋" w:cs="仿宋"/>
                <w:color w:val="auto"/>
                <w:kern w:val="0"/>
                <w:sz w:val="24"/>
                <w:szCs w:val="24"/>
                <w:highlight w:val="none"/>
              </w:rPr>
            </w:pPr>
          </w:p>
          <w:p w14:paraId="7E8A2E1C">
            <w:pPr>
              <w:widowControl/>
              <w:rPr>
                <w:rFonts w:hint="eastAsia" w:ascii="仿宋" w:hAnsi="仿宋" w:eastAsia="仿宋" w:cs="仿宋"/>
                <w:color w:val="auto"/>
                <w:kern w:val="0"/>
                <w:sz w:val="24"/>
                <w:szCs w:val="24"/>
                <w:highlight w:val="none"/>
              </w:rPr>
            </w:pPr>
          </w:p>
        </w:tc>
      </w:tr>
      <w:tr w14:paraId="6B7DAB95">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3ABFE3B9">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38F23252">
            <w:pPr>
              <w:widowControl/>
              <w:rPr>
                <w:rFonts w:hint="eastAsia" w:ascii="仿宋" w:hAnsi="仿宋" w:eastAsia="仿宋" w:cs="仿宋"/>
                <w:color w:val="auto"/>
                <w:kern w:val="0"/>
                <w:sz w:val="24"/>
                <w:szCs w:val="24"/>
                <w:highlight w:val="none"/>
              </w:rPr>
            </w:pPr>
          </w:p>
          <w:p w14:paraId="698E30D6">
            <w:pPr>
              <w:widowControl/>
              <w:rPr>
                <w:rFonts w:hint="eastAsia" w:ascii="仿宋" w:hAnsi="仿宋" w:eastAsia="仿宋" w:cs="仿宋"/>
                <w:color w:val="auto"/>
                <w:kern w:val="0"/>
                <w:sz w:val="24"/>
                <w:szCs w:val="24"/>
                <w:highlight w:val="none"/>
              </w:rPr>
            </w:pPr>
          </w:p>
          <w:p w14:paraId="047DF7FD">
            <w:pPr>
              <w:widowControl/>
              <w:rPr>
                <w:rFonts w:hint="eastAsia" w:ascii="仿宋" w:hAnsi="仿宋" w:eastAsia="仿宋" w:cs="仿宋"/>
                <w:color w:val="auto"/>
                <w:kern w:val="0"/>
                <w:sz w:val="24"/>
                <w:szCs w:val="24"/>
                <w:highlight w:val="none"/>
              </w:rPr>
            </w:pPr>
          </w:p>
        </w:tc>
      </w:tr>
      <w:tr w14:paraId="2A55CD0D">
        <w:trPr>
          <w:trHeight w:val="1714" w:hRule="atLeast"/>
        </w:trPr>
        <w:tc>
          <w:tcPr>
            <w:tcW w:w="1635" w:type="dxa"/>
            <w:tcBorders>
              <w:top w:val="single" w:color="auto" w:sz="6" w:space="0"/>
              <w:left w:val="single" w:color="auto" w:sz="6" w:space="0"/>
              <w:bottom w:val="single" w:color="auto" w:sz="6" w:space="0"/>
              <w:right w:val="single" w:color="auto" w:sz="6" w:space="0"/>
            </w:tcBorders>
            <w:vAlign w:val="center"/>
          </w:tcPr>
          <w:p w14:paraId="2ED4FABD">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5385F656">
            <w:pPr>
              <w:widowControl/>
              <w:rPr>
                <w:rFonts w:hint="eastAsia" w:ascii="仿宋" w:hAnsi="仿宋" w:eastAsia="仿宋" w:cs="仿宋"/>
                <w:color w:val="auto"/>
                <w:kern w:val="0"/>
                <w:sz w:val="24"/>
                <w:szCs w:val="24"/>
                <w:highlight w:val="none"/>
              </w:rPr>
            </w:pPr>
          </w:p>
        </w:tc>
      </w:tr>
      <w:tr w14:paraId="0170CDE8">
        <w:tblPrEx>
          <w:tblCellMar>
            <w:top w:w="0" w:type="dxa"/>
            <w:left w:w="0" w:type="dxa"/>
            <w:bottom w:w="0" w:type="dxa"/>
            <w:right w:w="0" w:type="dxa"/>
          </w:tblCellMar>
        </w:tblPrEx>
        <w:trPr>
          <w:trHeight w:val="1737" w:hRule="atLeast"/>
        </w:trPr>
        <w:tc>
          <w:tcPr>
            <w:tcW w:w="1635" w:type="dxa"/>
            <w:tcBorders>
              <w:top w:val="single" w:color="auto" w:sz="6" w:space="0"/>
              <w:left w:val="single" w:color="auto" w:sz="6" w:space="0"/>
              <w:bottom w:val="single" w:color="auto" w:sz="6" w:space="0"/>
              <w:right w:val="single" w:color="auto" w:sz="6" w:space="0"/>
            </w:tcBorders>
            <w:vAlign w:val="center"/>
          </w:tcPr>
          <w:p w14:paraId="4CD087B8">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附件（证书</w:t>
            </w:r>
          </w:p>
          <w:p w14:paraId="1D63A10E">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4937F995">
            <w:pPr>
              <w:widowControl/>
              <w:rPr>
                <w:rFonts w:hint="eastAsia" w:ascii="仿宋" w:hAnsi="仿宋" w:eastAsia="仿宋" w:cs="仿宋"/>
                <w:color w:val="auto"/>
                <w:kern w:val="0"/>
                <w:sz w:val="24"/>
                <w:szCs w:val="24"/>
                <w:highlight w:val="none"/>
              </w:rPr>
            </w:pPr>
          </w:p>
          <w:p w14:paraId="50343030">
            <w:pPr>
              <w:widowControl/>
              <w:rPr>
                <w:rFonts w:hint="eastAsia" w:ascii="仿宋" w:hAnsi="仿宋" w:eastAsia="仿宋" w:cs="仿宋"/>
                <w:color w:val="auto"/>
                <w:kern w:val="0"/>
                <w:sz w:val="24"/>
                <w:szCs w:val="24"/>
                <w:highlight w:val="none"/>
              </w:rPr>
            </w:pPr>
          </w:p>
          <w:p w14:paraId="31347C95">
            <w:pPr>
              <w:widowControl/>
              <w:rPr>
                <w:rFonts w:hint="eastAsia" w:ascii="仿宋" w:hAnsi="仿宋" w:eastAsia="仿宋" w:cs="仿宋"/>
                <w:color w:val="auto"/>
                <w:kern w:val="0"/>
                <w:sz w:val="24"/>
                <w:szCs w:val="24"/>
                <w:highlight w:val="none"/>
              </w:rPr>
            </w:pPr>
          </w:p>
          <w:p w14:paraId="52F39156">
            <w:pPr>
              <w:widowControl/>
              <w:rPr>
                <w:rFonts w:hint="eastAsia" w:ascii="仿宋" w:hAnsi="仿宋" w:eastAsia="仿宋" w:cs="仿宋"/>
                <w:color w:val="auto"/>
                <w:kern w:val="0"/>
                <w:sz w:val="24"/>
                <w:szCs w:val="24"/>
                <w:highlight w:val="none"/>
              </w:rPr>
            </w:pPr>
          </w:p>
          <w:p w14:paraId="60E34DD5">
            <w:pPr>
              <w:widowControl/>
              <w:rPr>
                <w:rFonts w:hint="eastAsia" w:ascii="仿宋" w:hAnsi="仿宋" w:eastAsia="仿宋" w:cs="仿宋"/>
                <w:color w:val="auto"/>
                <w:kern w:val="0"/>
                <w:sz w:val="24"/>
                <w:szCs w:val="24"/>
                <w:highlight w:val="none"/>
              </w:rPr>
            </w:pPr>
          </w:p>
        </w:tc>
      </w:tr>
      <w:tr w14:paraId="79A247A9">
        <w:tblPrEx>
          <w:tblCellMar>
            <w:top w:w="0" w:type="dxa"/>
            <w:left w:w="0" w:type="dxa"/>
            <w:bottom w:w="0" w:type="dxa"/>
            <w:right w:w="0" w:type="dxa"/>
          </w:tblCellMar>
        </w:tblPrEx>
        <w:trPr>
          <w:trHeight w:val="527" w:hRule="atLeast"/>
        </w:trPr>
        <w:tc>
          <w:tcPr>
            <w:tcW w:w="1635" w:type="dxa"/>
            <w:tcBorders>
              <w:top w:val="single" w:color="auto" w:sz="6" w:space="0"/>
              <w:left w:val="single" w:color="auto" w:sz="6" w:space="0"/>
              <w:bottom w:val="single" w:color="auto" w:sz="6" w:space="0"/>
              <w:right w:val="single" w:color="auto" w:sz="6" w:space="0"/>
            </w:tcBorders>
            <w:vAlign w:val="center"/>
          </w:tcPr>
          <w:p w14:paraId="3649EED6">
            <w:pPr>
              <w:widowControl/>
              <w:jc w:val="center"/>
              <w:rPr>
                <w:rFonts w:hint="eastAsia" w:ascii="仿宋" w:hAnsi="仿宋" w:eastAsia="仿宋" w:cs="仿宋"/>
                <w:b/>
                <w:color w:val="auto"/>
                <w:kern w:val="0"/>
                <w:sz w:val="24"/>
                <w:szCs w:val="24"/>
                <w:highlight w:val="none"/>
              </w:rPr>
            </w:pPr>
            <w:r>
              <w:rPr>
                <w:rFonts w:hint="eastAsia" w:ascii="仿宋" w:hAnsi="仿宋" w:eastAsia="仿宋" w:cs="仿宋"/>
                <w:b/>
                <w:color w:val="auto"/>
                <w:kern w:val="0"/>
                <w:sz w:val="24"/>
                <w:szCs w:val="24"/>
                <w:highlight w:val="none"/>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7C25CE6D">
            <w:pPr>
              <w:widowControl/>
              <w:ind w:firstLine="723" w:firstLineChars="300"/>
              <w:jc w:val="left"/>
              <w:rPr>
                <w:rFonts w:hint="eastAsia" w:ascii="仿宋" w:hAnsi="仿宋" w:eastAsia="仿宋" w:cs="仿宋"/>
                <w:b/>
                <w:color w:val="auto"/>
                <w:kern w:val="0"/>
                <w:sz w:val="24"/>
                <w:szCs w:val="24"/>
                <w:highlight w:val="none"/>
              </w:rPr>
            </w:pPr>
          </w:p>
        </w:tc>
      </w:tr>
    </w:tbl>
    <w:p w14:paraId="40CCD799">
      <w:pPr>
        <w:widowControl/>
        <w:rPr>
          <w:rFonts w:ascii="宋体" w:hAnsi="宋体" w:eastAsia="宋体" w:cs="Tahoma"/>
          <w:color w:val="auto"/>
          <w:kern w:val="0"/>
          <w:szCs w:val="21"/>
          <w:highlight w:val="none"/>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1AE2C">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E854B4"/>
    <w:multiLevelType w:val="multilevel"/>
    <w:tmpl w:val="08E854B4"/>
    <w:lvl w:ilvl="0" w:tentative="0">
      <w:start w:val="1"/>
      <w:numFmt w:val="decimal"/>
      <w:lvlText w:val="%1"/>
      <w:lvlJc w:val="left"/>
      <w:pPr>
        <w:ind w:left="432" w:hanging="432"/>
      </w:pPr>
      <w:rPr>
        <w:rFonts w:hint="eastAsia"/>
      </w:rPr>
    </w:lvl>
    <w:lvl w:ilvl="1" w:tentative="0">
      <w:start w:val="1"/>
      <w:numFmt w:val="decimal"/>
      <w:pStyle w:val="2"/>
      <w:lvlText w:val="%1.%2"/>
      <w:lvlJc w:val="left"/>
      <w:pPr>
        <w:ind w:left="567" w:hanging="567"/>
      </w:pPr>
      <w:rPr>
        <w:rFonts w:hint="eastAsia"/>
      </w:rPr>
    </w:lvl>
    <w:lvl w:ilvl="2" w:tentative="0">
      <w:start w:val="1"/>
      <w:numFmt w:val="decimal"/>
      <w:lvlText w:val="%1.%2.%3"/>
      <w:lvlJc w:val="left"/>
      <w:pPr>
        <w:ind w:left="720" w:hanging="720"/>
      </w:pPr>
      <w:rPr>
        <w:rFonts w:hint="eastAsia"/>
      </w:rPr>
    </w:lvl>
    <w:lvl w:ilvl="3" w:tentative="0">
      <w:start w:val="1"/>
      <w:numFmt w:val="decimal"/>
      <w:lvlText w:val="%1.%2.%3.%4"/>
      <w:lvlJc w:val="left"/>
      <w:pPr>
        <w:ind w:left="864" w:hanging="864"/>
      </w:pPr>
      <w:rPr>
        <w:rFonts w:hint="eastAsia"/>
      </w:rPr>
    </w:lvl>
    <w:lvl w:ilvl="4" w:tentative="0">
      <w:start w:val="1"/>
      <w:numFmt w:val="decimal"/>
      <w:lvlText w:val="%1.%2.%3.%4.%5"/>
      <w:lvlJc w:val="left"/>
      <w:pPr>
        <w:ind w:left="1008" w:hanging="1008"/>
      </w:pPr>
      <w:rPr>
        <w:rFonts w:hint="eastAsia"/>
      </w:rPr>
    </w:lvl>
    <w:lvl w:ilvl="5" w:tentative="0">
      <w:start w:val="1"/>
      <w:numFmt w:val="decimal"/>
      <w:lvlText w:val="%1.%2.%3.%4.%5.%6"/>
      <w:lvlJc w:val="left"/>
      <w:pPr>
        <w:ind w:left="1152" w:hanging="1152"/>
      </w:pPr>
      <w:rPr>
        <w:rFonts w:hint="eastAsia"/>
      </w:rPr>
    </w:lvl>
    <w:lvl w:ilvl="6" w:tentative="0">
      <w:start w:val="1"/>
      <w:numFmt w:val="decimal"/>
      <w:lvlText w:val="%1.%2.%3.%4.%5.%6.%7"/>
      <w:lvlJc w:val="left"/>
      <w:pPr>
        <w:ind w:left="1296" w:hanging="1296"/>
      </w:pPr>
      <w:rPr>
        <w:rFonts w:hint="eastAsia"/>
      </w:rPr>
    </w:lvl>
    <w:lvl w:ilvl="7" w:tentative="0">
      <w:start w:val="1"/>
      <w:numFmt w:val="decimal"/>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abstractNum w:abstractNumId="1">
    <w:nsid w:val="287E323D"/>
    <w:multiLevelType w:val="multilevel"/>
    <w:tmpl w:val="287E323D"/>
    <w:lvl w:ilvl="0" w:tentative="0">
      <w:start w:val="1"/>
      <w:numFmt w:val="decimal"/>
      <w:pStyle w:val="23"/>
      <w:lvlText w:val="%1."/>
      <w:lvlJc w:val="left"/>
      <w:pPr>
        <w:ind w:left="846" w:hanging="420"/>
      </w:pPr>
      <w:rPr>
        <w:rFonts w:cs="Times New Roman"/>
        <w:i w:val="0"/>
        <w:iCs w:val="0"/>
        <w:caps w:val="0"/>
        <w:smallCaps w:val="0"/>
        <w:strike w:val="0"/>
        <w:dstrike w:val="0"/>
        <w:outline w:val="0"/>
        <w:shadow w:val="0"/>
        <w:emboss w:val="0"/>
        <w:imprint w:val="0"/>
        <w:vanish w:val="0"/>
        <w:spacing w:val="0"/>
        <w:position w:val="0"/>
        <w:sz w:val="24"/>
        <w:szCs w:val="24"/>
        <w:u w:val="none"/>
        <w:vertAlign w:val="baseline"/>
        <w14:ligatures w14:val="none"/>
        <w14:numForm w14:val="default"/>
        <w14:numSpacing w14:val="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3122A2A5"/>
    <w:multiLevelType w:val="singleLevel"/>
    <w:tmpl w:val="3122A2A5"/>
    <w:lvl w:ilvl="0" w:tentative="0">
      <w:start w:val="3"/>
      <w:numFmt w:val="decimal"/>
      <w:suff w:val="nothing"/>
      <w:lvlText w:val="%1、"/>
      <w:lvlJc w:val="left"/>
    </w:lvl>
  </w:abstractNum>
  <w:abstractNum w:abstractNumId="3">
    <w:nsid w:val="7E7A65A2"/>
    <w:multiLevelType w:val="singleLevel"/>
    <w:tmpl w:val="7E7A65A2"/>
    <w:lvl w:ilvl="0" w:tentative="0">
      <w:start w:val="2"/>
      <w:numFmt w:val="decimal"/>
      <w:suff w:val="nothing"/>
      <w:lvlText w:val="%1、"/>
      <w:lvlJc w:val="left"/>
    </w:lvl>
  </w:abstractNum>
  <w:num w:numId="1">
    <w:abstractNumId w:val="0"/>
  </w:num>
  <w:num w:numId="2">
    <w:abstractNumId w:val="1"/>
  </w:num>
  <w:num w:numId="3">
    <w:abstractNumId w:val="3"/>
  </w:num>
  <w:num w:numId="4">
    <w:abstractNumId w:val="2"/>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