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4F92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bookmarkStart w:id="2" w:name="_GoBack"/>
      <w:bookmarkStart w:id="0" w:name="_Toc18456"/>
      <w:bookmarkStart w:id="1" w:name="_Toc21918"/>
      <w:r>
        <w:rPr>
          <w:rFonts w:hint="eastAsia" w:ascii="宋体" w:hAnsi="宋体" w:eastAsia="宋体" w:cs="宋体"/>
          <w:b/>
          <w:bCs w:val="0"/>
          <w:sz w:val="36"/>
          <w:szCs w:val="36"/>
        </w:rPr>
        <w:t>内蒙古卓正煤化工有限公司</w:t>
      </w:r>
    </w:p>
    <w:p w14:paraId="1C52EA4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年产120万吨煤制甲醇优化变更为年产100万吨煤制甲醇项目、</w:t>
      </w:r>
      <w:r>
        <w:rPr>
          <w:rFonts w:hint="eastAsia" w:ascii="宋体" w:hAnsi="宋体" w:eastAsia="宋体" w:cs="宋体"/>
          <w:b/>
          <w:bCs w:val="0"/>
          <w:sz w:val="36"/>
          <w:szCs w:val="36"/>
        </w:rPr>
        <w:t>甲醇醋酸延链优化深加工与综合利用</w:t>
      </w:r>
    </w:p>
    <w:p w14:paraId="5113172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rPr>
        <w:t>生产高端化学品</w:t>
      </w:r>
      <w:r>
        <w:rPr>
          <w:rFonts w:hint="eastAsia" w:ascii="宋体" w:hAnsi="宋体" w:eastAsia="宋体" w:cs="宋体"/>
          <w:b/>
          <w:bCs w:val="0"/>
          <w:sz w:val="36"/>
          <w:szCs w:val="36"/>
          <w:lang w:val="en-US" w:eastAsia="zh-CN"/>
        </w:rPr>
        <w:t>材料项目和</w:t>
      </w:r>
      <w:r>
        <w:rPr>
          <w:rFonts w:hint="eastAsia" w:ascii="宋体" w:hAnsi="宋体" w:eastAsia="宋体" w:cs="宋体"/>
          <w:b/>
          <w:bCs w:val="0"/>
          <w:sz w:val="36"/>
          <w:szCs w:val="36"/>
        </w:rPr>
        <w:t>新材料项目</w:t>
      </w:r>
      <w:bookmarkEnd w:id="0"/>
      <w:bookmarkEnd w:id="1"/>
    </w:p>
    <w:p w14:paraId="6A3AB40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0"/>
        <w:rPr>
          <w:rFonts w:hint="eastAsia" w:ascii="宋体" w:hAnsi="宋体" w:eastAsia="宋体" w:cs="宋体"/>
          <w:b/>
          <w:bCs w:val="0"/>
          <w:sz w:val="36"/>
          <w:szCs w:val="36"/>
        </w:rPr>
      </w:pPr>
      <w:r>
        <w:rPr>
          <w:rFonts w:hint="eastAsia" w:ascii="宋体" w:hAnsi="宋体" w:eastAsia="宋体" w:cs="宋体"/>
          <w:b/>
          <w:bCs w:val="0"/>
          <w:sz w:val="36"/>
          <w:szCs w:val="36"/>
          <w:lang w:val="en-US" w:eastAsia="zh-CN"/>
        </w:rPr>
        <w:t>动力装置带式输送机</w:t>
      </w:r>
      <w:r>
        <w:rPr>
          <w:rFonts w:hint="eastAsia" w:ascii="宋体" w:hAnsi="宋体" w:eastAsia="宋体" w:cs="宋体"/>
          <w:b/>
          <w:bCs w:val="0"/>
          <w:sz w:val="36"/>
          <w:szCs w:val="36"/>
        </w:rPr>
        <w:t>报名暨资格预审公告</w:t>
      </w:r>
    </w:p>
    <w:p w14:paraId="2C4CCC4F">
      <w:pPr>
        <w:pStyle w:val="4"/>
        <w:keepNext w:val="0"/>
        <w:keepLines w:val="0"/>
        <w:pageBreakBefore w:val="0"/>
        <w:widowControl/>
        <w:kinsoku/>
        <w:wordWrap/>
        <w:overflowPunct/>
        <w:topLinePunct w:val="0"/>
        <w:autoSpaceDE/>
        <w:autoSpaceDN/>
        <w:bidi w:val="0"/>
        <w:adjustRightInd/>
        <w:snapToGrid/>
        <w:spacing w:line="360" w:lineRule="auto"/>
        <w:ind w:firstLine="0" w:firstLineChars="0"/>
        <w:contextualSpacing/>
        <w:textAlignment w:val="auto"/>
        <w:rPr>
          <w:rFonts w:asciiTheme="minorEastAsia" w:hAnsiTheme="minorEastAsia"/>
          <w:color w:val="000000" w:themeColor="text1"/>
          <w14:textFill>
            <w14:solidFill>
              <w14:schemeClr w14:val="tx1"/>
            </w14:solidFill>
          </w14:textFill>
        </w:rPr>
      </w:pPr>
    </w:p>
    <w:p w14:paraId="094BE2B5">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年产120万吨煤制甲醇优化变更为年产100万吨煤制甲醇项目、甲醇醋酸延链优化深加工与综合利用生产高端化学品材料项目和新材料项目气化装置氮气炮投标单位报名暨资格预审，具体说明及要求如下：</w:t>
      </w:r>
    </w:p>
    <w:p w14:paraId="54126B2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1、项目概况</w:t>
      </w:r>
    </w:p>
    <w:p w14:paraId="5AD4F202">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0"/>
          <w:szCs w:val="30"/>
          <w:highlight w:val="none"/>
          <w:lang w:val="en-US" w:eastAsia="zh-CN" w:bidi="ar-SA"/>
          <w14:textFill>
            <w14:solidFill>
              <w14:schemeClr w14:val="tx1"/>
            </w14:solidFill>
          </w14:textFill>
        </w:rPr>
        <w:t>项目简介</w:t>
      </w: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w:t>
      </w:r>
      <w:r>
        <w:rPr>
          <w:rFonts w:hint="eastAsia" w:ascii="仿宋" w:hAnsi="仿宋" w:eastAsia="仿宋" w:cs="仿宋"/>
          <w:i w:val="0"/>
          <w:iCs w:val="0"/>
          <w:caps w:val="0"/>
          <w:color w:val="000000" w:themeColor="text1"/>
          <w:spacing w:val="0"/>
          <w:sz w:val="32"/>
          <w:szCs w:val="32"/>
          <w:highlight w:val="none"/>
          <w:shd w:val="clear"/>
          <w14:textFill>
            <w14:solidFill>
              <w14:schemeClr w14:val="tx1"/>
            </w14:solidFill>
          </w14:textFill>
        </w:rPr>
        <w:t>本项目位于乌审旗苏里格经济开发区纳林河产业园，该项目在原年产120万吨甲醇和100万吨醋酸项目的基础上按照国家绿色低碳、节能环保的产业引导政策，采用先进的工艺技术，建设300万吨/年原煤预处理装置、100万吨/年甲醇装置、50万吨/年醋酸装置、60万吨/年乙醇装置、35万吨/年乙醇酸甲酯 （MG）装置、20万吨/年聚乙醇酸（PGA）装置、6万吨/年聚甲醛 (POM) 装置、液化天然气（LNG）装置及配套公辅工程设施等。</w:t>
      </w:r>
    </w:p>
    <w:p w14:paraId="4687F833">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1.2招标人：</w:t>
      </w:r>
      <w:r>
        <w:rPr>
          <w:rFonts w:hint="eastAsia" w:ascii="仿宋" w:hAnsi="仿宋" w:eastAsia="仿宋" w:cs="仿宋"/>
          <w:color w:val="000000" w:themeColor="text1"/>
          <w:sz w:val="32"/>
          <w:szCs w:val="32"/>
          <w:highlight w:val="none"/>
          <w:lang w:val="en-US" w:eastAsia="zh-CN"/>
          <w14:textFill>
            <w14:solidFill>
              <w14:schemeClr w14:val="tx1"/>
            </w14:solidFill>
          </w14:textFill>
        </w:rPr>
        <w:t>内蒙古卓正煤化工有限公司</w:t>
      </w:r>
    </w:p>
    <w:p w14:paraId="30559C40">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1.3建设地点：</w:t>
      </w: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鄂</w:t>
      </w:r>
      <w:r>
        <w:rPr>
          <w:rFonts w:hint="eastAsia" w:ascii="仿宋" w:hAnsi="仿宋" w:eastAsia="仿宋" w:cs="仿宋"/>
          <w:color w:val="000000" w:themeColor="text1"/>
          <w:sz w:val="32"/>
          <w:szCs w:val="32"/>
          <w:highlight w:val="none"/>
          <w:lang w:val="en-US" w:eastAsia="zh-CN"/>
          <w14:textFill>
            <w14:solidFill>
              <w14:schemeClr w14:val="tx1"/>
            </w14:solidFill>
          </w14:textFill>
        </w:rPr>
        <w:t>尔多斯市乌审旗苏里格经济开发区纳林河产业园内蒙古卓正煤化工有限公司</w:t>
      </w:r>
    </w:p>
    <w:p w14:paraId="456BC278">
      <w:pPr>
        <w:pStyle w:val="4"/>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1.4招标方式：</w:t>
      </w:r>
      <w:r>
        <w:rPr>
          <w:rFonts w:hint="eastAsia" w:ascii="仿宋" w:hAnsi="仿宋" w:eastAsia="仿宋" w:cs="仿宋"/>
          <w:color w:val="000000" w:themeColor="text1"/>
          <w:sz w:val="32"/>
          <w:szCs w:val="32"/>
          <w:highlight w:val="none"/>
          <w:lang w:val="en-US" w:eastAsia="zh-CN"/>
          <w14:textFill>
            <w14:solidFill>
              <w14:schemeClr w14:val="tx1"/>
            </w14:solidFill>
          </w14:textFill>
        </w:rPr>
        <w:t>邀请招标</w:t>
      </w:r>
    </w:p>
    <w:p w14:paraId="4FDAF2B2">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2、</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招标内容</w:t>
      </w:r>
    </w:p>
    <w:tbl>
      <w:tblPr>
        <w:tblStyle w:val="5"/>
        <w:tblW w:w="532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91"/>
        <w:gridCol w:w="2087"/>
        <w:gridCol w:w="1965"/>
        <w:gridCol w:w="949"/>
        <w:gridCol w:w="3285"/>
      </w:tblGrid>
      <w:tr w14:paraId="105CD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9" w:hRule="atLeast"/>
          <w:tblHeader/>
          <w:jc w:val="center"/>
        </w:trPr>
        <w:tc>
          <w:tcPr>
            <w:tcW w:w="435" w:type="pct"/>
            <w:vAlign w:val="center"/>
          </w:tcPr>
          <w:p w14:paraId="6BA6DAF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 号</w:t>
            </w:r>
          </w:p>
        </w:tc>
        <w:tc>
          <w:tcPr>
            <w:tcW w:w="1149" w:type="pct"/>
            <w:vAlign w:val="center"/>
          </w:tcPr>
          <w:p w14:paraId="748DE253">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设备位号</w:t>
            </w:r>
          </w:p>
        </w:tc>
        <w:tc>
          <w:tcPr>
            <w:tcW w:w="1082" w:type="pct"/>
            <w:vAlign w:val="center"/>
          </w:tcPr>
          <w:p w14:paraId="648F411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名 称</w:t>
            </w:r>
          </w:p>
        </w:tc>
        <w:tc>
          <w:tcPr>
            <w:tcW w:w="522" w:type="pct"/>
            <w:vAlign w:val="center"/>
          </w:tcPr>
          <w:p w14:paraId="63B0D6D6">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 量</w:t>
            </w:r>
          </w:p>
        </w:tc>
        <w:tc>
          <w:tcPr>
            <w:tcW w:w="1809" w:type="pct"/>
            <w:vAlign w:val="center"/>
          </w:tcPr>
          <w:p w14:paraId="0B939DB3">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备注</w:t>
            </w:r>
          </w:p>
        </w:tc>
      </w:tr>
      <w:tr w14:paraId="52487D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0003E04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149" w:type="pct"/>
            <w:vAlign w:val="center"/>
          </w:tcPr>
          <w:p w14:paraId="4698DEB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1542A-002A/B</w:t>
            </w:r>
          </w:p>
        </w:tc>
        <w:tc>
          <w:tcPr>
            <w:tcW w:w="1082" w:type="pct"/>
            <w:vAlign w:val="center"/>
          </w:tcPr>
          <w:p w14:paraId="79CA1D2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1#带式输送机</w:t>
            </w:r>
          </w:p>
        </w:tc>
        <w:tc>
          <w:tcPr>
            <w:tcW w:w="522" w:type="pct"/>
            <w:vAlign w:val="center"/>
          </w:tcPr>
          <w:p w14:paraId="3959F611">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63C99AF3">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7FD02F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6C193AE5">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149" w:type="pct"/>
            <w:vAlign w:val="center"/>
          </w:tcPr>
          <w:p w14:paraId="35AD668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1542A-003A/B</w:t>
            </w:r>
          </w:p>
        </w:tc>
        <w:tc>
          <w:tcPr>
            <w:tcW w:w="1082" w:type="pct"/>
            <w:vAlign w:val="center"/>
          </w:tcPr>
          <w:p w14:paraId="32A065DB">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2#带式输送机</w:t>
            </w:r>
          </w:p>
        </w:tc>
        <w:tc>
          <w:tcPr>
            <w:tcW w:w="522" w:type="pct"/>
            <w:vAlign w:val="center"/>
          </w:tcPr>
          <w:p w14:paraId="6A0F7C6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452B6353">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40599F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1B870CFF">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149" w:type="pct"/>
            <w:vAlign w:val="center"/>
          </w:tcPr>
          <w:p w14:paraId="036F723F">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1542A-004A/B</w:t>
            </w:r>
          </w:p>
        </w:tc>
        <w:tc>
          <w:tcPr>
            <w:tcW w:w="1082" w:type="pct"/>
            <w:vAlign w:val="center"/>
          </w:tcPr>
          <w:p w14:paraId="70876B75">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3#带式输送机</w:t>
            </w:r>
          </w:p>
        </w:tc>
        <w:tc>
          <w:tcPr>
            <w:tcW w:w="522" w:type="pct"/>
            <w:vAlign w:val="center"/>
          </w:tcPr>
          <w:p w14:paraId="092E7E7C">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63DCAE0F">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29E1BC9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47A4870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149" w:type="pct"/>
            <w:vAlign w:val="center"/>
          </w:tcPr>
          <w:p w14:paraId="77FFBD9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1542A-005A/B</w:t>
            </w:r>
          </w:p>
        </w:tc>
        <w:tc>
          <w:tcPr>
            <w:tcW w:w="1082" w:type="pct"/>
            <w:vAlign w:val="center"/>
          </w:tcPr>
          <w:p w14:paraId="02E81F2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4#带式输送机</w:t>
            </w:r>
          </w:p>
        </w:tc>
        <w:tc>
          <w:tcPr>
            <w:tcW w:w="522" w:type="pct"/>
            <w:vAlign w:val="center"/>
          </w:tcPr>
          <w:p w14:paraId="54CA562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11FDB9E9">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30490C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3A5D1EC6">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149" w:type="pct"/>
            <w:vAlign w:val="center"/>
          </w:tcPr>
          <w:p w14:paraId="49162014">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1542A-008A/B</w:t>
            </w:r>
          </w:p>
        </w:tc>
        <w:tc>
          <w:tcPr>
            <w:tcW w:w="1082" w:type="pct"/>
            <w:vAlign w:val="center"/>
          </w:tcPr>
          <w:p w14:paraId="415FB2BA">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5#带式输送机</w:t>
            </w:r>
          </w:p>
        </w:tc>
        <w:tc>
          <w:tcPr>
            <w:tcW w:w="522" w:type="pct"/>
            <w:vAlign w:val="center"/>
          </w:tcPr>
          <w:p w14:paraId="2DA0614F">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6091D7C4">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26BEC2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4DEF3BCC">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149" w:type="pct"/>
            <w:vAlign w:val="center"/>
          </w:tcPr>
          <w:p w14:paraId="31F8F8F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1542A-009A/B</w:t>
            </w:r>
          </w:p>
        </w:tc>
        <w:tc>
          <w:tcPr>
            <w:tcW w:w="1082" w:type="pct"/>
            <w:vAlign w:val="center"/>
          </w:tcPr>
          <w:p w14:paraId="2839BEDB">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6#带式输送机</w:t>
            </w:r>
          </w:p>
        </w:tc>
        <w:tc>
          <w:tcPr>
            <w:tcW w:w="522" w:type="pct"/>
            <w:vAlign w:val="center"/>
          </w:tcPr>
          <w:p w14:paraId="4E3CFF4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597E70E1">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3741E8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3126C69D">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149" w:type="pct"/>
            <w:vAlign w:val="center"/>
          </w:tcPr>
          <w:p w14:paraId="2307AAA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1542A-010A/B</w:t>
            </w:r>
          </w:p>
        </w:tc>
        <w:tc>
          <w:tcPr>
            <w:tcW w:w="1082" w:type="pct"/>
            <w:vAlign w:val="center"/>
          </w:tcPr>
          <w:p w14:paraId="289AD46B">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7#带式输送机</w:t>
            </w:r>
          </w:p>
        </w:tc>
        <w:tc>
          <w:tcPr>
            <w:tcW w:w="522" w:type="pct"/>
            <w:vAlign w:val="center"/>
          </w:tcPr>
          <w:p w14:paraId="2868BF7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3A721F73">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3456C7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4" w:hRule="atLeast"/>
          <w:jc w:val="center"/>
        </w:trPr>
        <w:tc>
          <w:tcPr>
            <w:tcW w:w="435" w:type="pct"/>
            <w:vAlign w:val="center"/>
          </w:tcPr>
          <w:p w14:paraId="0FF6C7E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1149" w:type="pct"/>
            <w:vAlign w:val="center"/>
          </w:tcPr>
          <w:p w14:paraId="00007944">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1311-L-011A/B</w:t>
            </w:r>
          </w:p>
        </w:tc>
        <w:tc>
          <w:tcPr>
            <w:tcW w:w="1082" w:type="pct"/>
            <w:vAlign w:val="center"/>
          </w:tcPr>
          <w:p w14:paraId="17F59FA0">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锅炉仓顶</w:t>
            </w:r>
          </w:p>
          <w:p w14:paraId="1F486C9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带式输送机（黑龙江分公司设计）</w:t>
            </w:r>
          </w:p>
        </w:tc>
        <w:tc>
          <w:tcPr>
            <w:tcW w:w="522" w:type="pct"/>
            <w:vAlign w:val="center"/>
          </w:tcPr>
          <w:p w14:paraId="2C94CD6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6AECC6E9">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包括：设备本体及接线箱等</w:t>
            </w:r>
          </w:p>
        </w:tc>
      </w:tr>
      <w:tr w14:paraId="2004FF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54" w:hRule="atLeast"/>
          <w:jc w:val="center"/>
        </w:trPr>
        <w:tc>
          <w:tcPr>
            <w:tcW w:w="435" w:type="pct"/>
            <w:vAlign w:val="center"/>
          </w:tcPr>
          <w:p w14:paraId="3A5C38C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1149" w:type="pct"/>
            <w:vAlign w:val="center"/>
          </w:tcPr>
          <w:p w14:paraId="27DBA296">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1542A-006A~T</w:t>
            </w:r>
          </w:p>
        </w:tc>
        <w:tc>
          <w:tcPr>
            <w:tcW w:w="1082" w:type="pct"/>
            <w:vAlign w:val="center"/>
          </w:tcPr>
          <w:p w14:paraId="3657533F">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电液动犁式卸料器</w:t>
            </w:r>
          </w:p>
          <w:p w14:paraId="54C461A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（双侧）</w:t>
            </w:r>
          </w:p>
        </w:tc>
        <w:tc>
          <w:tcPr>
            <w:tcW w:w="522" w:type="pct"/>
            <w:vAlign w:val="center"/>
          </w:tcPr>
          <w:p w14:paraId="540B3096">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20套</w:t>
            </w:r>
          </w:p>
        </w:tc>
        <w:tc>
          <w:tcPr>
            <w:tcW w:w="1809" w:type="pct"/>
            <w:vAlign w:val="center"/>
          </w:tcPr>
          <w:p w14:paraId="1698E66A">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包括：设备本体及电控箱、锁气落煤斗等</w:t>
            </w:r>
          </w:p>
        </w:tc>
      </w:tr>
      <w:tr w14:paraId="7CE209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94" w:hRule="atLeast"/>
          <w:jc w:val="center"/>
        </w:trPr>
        <w:tc>
          <w:tcPr>
            <w:tcW w:w="435" w:type="pct"/>
            <w:vAlign w:val="center"/>
          </w:tcPr>
          <w:p w14:paraId="6D5B874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1149" w:type="pct"/>
            <w:vAlign w:val="center"/>
          </w:tcPr>
          <w:p w14:paraId="1400AD9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1311-M-011~015A</w:t>
            </w:r>
          </w:p>
          <w:p w14:paraId="32C9C29D">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1311-M-011~015B</w:t>
            </w:r>
          </w:p>
        </w:tc>
        <w:tc>
          <w:tcPr>
            <w:tcW w:w="1082" w:type="pct"/>
            <w:vAlign w:val="center"/>
          </w:tcPr>
          <w:p w14:paraId="4435C3C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电液动犁式卸料器</w:t>
            </w:r>
          </w:p>
          <w:p w14:paraId="10F03C1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（单侧）</w:t>
            </w:r>
          </w:p>
          <w:p w14:paraId="0A572223">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（黑龙江分公司设计）</w:t>
            </w:r>
          </w:p>
        </w:tc>
        <w:tc>
          <w:tcPr>
            <w:tcW w:w="522" w:type="pct"/>
            <w:vAlign w:val="center"/>
          </w:tcPr>
          <w:p w14:paraId="4D8460C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10套</w:t>
            </w:r>
          </w:p>
        </w:tc>
        <w:tc>
          <w:tcPr>
            <w:tcW w:w="1809" w:type="pct"/>
            <w:vAlign w:val="center"/>
          </w:tcPr>
          <w:p w14:paraId="5AB22E21">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包括：设备本体及电控箱、锁气落煤斗等</w:t>
            </w:r>
          </w:p>
        </w:tc>
      </w:tr>
      <w:tr w14:paraId="0DFF25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6AE66015">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1149" w:type="pct"/>
            <w:vAlign w:val="center"/>
          </w:tcPr>
          <w:p w14:paraId="60A72E4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1542W-001A/B</w:t>
            </w:r>
          </w:p>
        </w:tc>
        <w:tc>
          <w:tcPr>
            <w:tcW w:w="1082" w:type="pct"/>
            <w:vAlign w:val="center"/>
          </w:tcPr>
          <w:p w14:paraId="58F6ED5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电子皮带秤</w:t>
            </w:r>
          </w:p>
        </w:tc>
        <w:tc>
          <w:tcPr>
            <w:tcW w:w="522" w:type="pct"/>
            <w:vAlign w:val="center"/>
          </w:tcPr>
          <w:p w14:paraId="791DEA88">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09D67D55">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包括：设备本体及电控箱等</w:t>
            </w:r>
          </w:p>
        </w:tc>
      </w:tr>
      <w:tr w14:paraId="401C30F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78A20E00">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1149" w:type="pct"/>
            <w:vAlign w:val="center"/>
          </w:tcPr>
          <w:p w14:paraId="7F2C4AD5">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1542W-002A/B</w:t>
            </w:r>
          </w:p>
        </w:tc>
        <w:tc>
          <w:tcPr>
            <w:tcW w:w="1082" w:type="pct"/>
            <w:vAlign w:val="center"/>
          </w:tcPr>
          <w:p w14:paraId="05B20C02">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电子皮带秤</w:t>
            </w:r>
          </w:p>
        </w:tc>
        <w:tc>
          <w:tcPr>
            <w:tcW w:w="522" w:type="pct"/>
            <w:vAlign w:val="center"/>
          </w:tcPr>
          <w:p w14:paraId="15A69817">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10F82776">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包括：设备本体及电控箱等</w:t>
            </w:r>
          </w:p>
        </w:tc>
      </w:tr>
      <w:tr w14:paraId="78FE72A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15D2E6B9">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w:t>
            </w:r>
          </w:p>
        </w:tc>
        <w:tc>
          <w:tcPr>
            <w:tcW w:w="1149" w:type="pct"/>
            <w:vAlign w:val="center"/>
          </w:tcPr>
          <w:p w14:paraId="7AC552AF">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1542M-002A/B</w:t>
            </w:r>
          </w:p>
        </w:tc>
        <w:tc>
          <w:tcPr>
            <w:tcW w:w="1082" w:type="pct"/>
            <w:vAlign w:val="center"/>
          </w:tcPr>
          <w:p w14:paraId="17BC49A4">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电磁除铁器</w:t>
            </w:r>
          </w:p>
        </w:tc>
        <w:tc>
          <w:tcPr>
            <w:tcW w:w="522" w:type="pct"/>
            <w:vAlign w:val="center"/>
          </w:tcPr>
          <w:p w14:paraId="0E4ADEBC">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36BA7B6C">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包括：设备本体及电控箱等</w:t>
            </w:r>
          </w:p>
        </w:tc>
      </w:tr>
      <w:tr w14:paraId="7ECBDE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435" w:type="pct"/>
            <w:vAlign w:val="center"/>
          </w:tcPr>
          <w:p w14:paraId="7EABC2BC">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w:t>
            </w:r>
          </w:p>
        </w:tc>
        <w:tc>
          <w:tcPr>
            <w:tcW w:w="1149" w:type="pct"/>
            <w:vAlign w:val="center"/>
          </w:tcPr>
          <w:p w14:paraId="650AF0EB">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1542M-004A/B</w:t>
            </w:r>
          </w:p>
        </w:tc>
        <w:tc>
          <w:tcPr>
            <w:tcW w:w="1082" w:type="pct"/>
            <w:vAlign w:val="center"/>
          </w:tcPr>
          <w:p w14:paraId="71B16B9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电磁除铁器</w:t>
            </w:r>
          </w:p>
        </w:tc>
        <w:tc>
          <w:tcPr>
            <w:tcW w:w="522" w:type="pct"/>
            <w:vAlign w:val="center"/>
          </w:tcPr>
          <w:p w14:paraId="2825D4FA">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69E7ECC6">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包括：设备本体及电控箱等</w:t>
            </w:r>
          </w:p>
        </w:tc>
      </w:tr>
      <w:tr w14:paraId="451B34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35" w:type="pct"/>
            <w:vAlign w:val="center"/>
          </w:tcPr>
          <w:p w14:paraId="227495B3">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1149" w:type="pct"/>
            <w:vAlign w:val="center"/>
          </w:tcPr>
          <w:p w14:paraId="098198BE">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1542M-005A/B</w:t>
            </w:r>
          </w:p>
        </w:tc>
        <w:tc>
          <w:tcPr>
            <w:tcW w:w="1082" w:type="pct"/>
            <w:vAlign w:val="center"/>
          </w:tcPr>
          <w:p w14:paraId="5A306EB3">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电磁除铁器</w:t>
            </w:r>
          </w:p>
        </w:tc>
        <w:tc>
          <w:tcPr>
            <w:tcW w:w="522" w:type="pct"/>
            <w:vAlign w:val="center"/>
          </w:tcPr>
          <w:p w14:paraId="69DBB384">
            <w:pPr>
              <w:keepNext w:val="0"/>
              <w:keepLines w:val="0"/>
              <w:pageBreakBefore w:val="0"/>
              <w:suppressLineNumbers w:val="0"/>
              <w:kinsoku/>
              <w:wordWrap/>
              <w:overflowPunct/>
              <w:topLinePunct w:val="0"/>
              <w:bidi w:val="0"/>
              <w:spacing w:before="0" w:beforeAutospacing="0" w:after="0" w:afterAutospacing="0" w:line="360" w:lineRule="auto"/>
              <w:ind w:left="0" w:right="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2套</w:t>
            </w:r>
          </w:p>
        </w:tc>
        <w:tc>
          <w:tcPr>
            <w:tcW w:w="1809" w:type="pct"/>
            <w:vAlign w:val="center"/>
          </w:tcPr>
          <w:p w14:paraId="2AA828EB">
            <w:pPr>
              <w:keepNext w:val="0"/>
              <w:keepLines w:val="0"/>
              <w:pageBreakBefore w:val="0"/>
              <w:suppressLineNumbers w:val="0"/>
              <w:kinsoku/>
              <w:wordWrap/>
              <w:overflowPunct/>
              <w:topLinePunct w:val="0"/>
              <w:bidi w:val="0"/>
              <w:spacing w:before="0" w:beforeAutospacing="0" w:after="0" w:afterAutospacing="0" w:line="360" w:lineRule="auto"/>
              <w:ind w:left="0" w:right="0"/>
              <w:jc w:val="left"/>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包括：设备本体及电控箱等</w:t>
            </w:r>
          </w:p>
        </w:tc>
      </w:tr>
    </w:tbl>
    <w:p w14:paraId="6363457E">
      <w:pPr>
        <w:pStyle w:val="4"/>
        <w:keepNext w:val="0"/>
        <w:keepLines w:val="0"/>
        <w:pageBreakBefore w:val="0"/>
        <w:widowControl/>
        <w:kinsoku/>
        <w:wordWrap/>
        <w:overflowPunct/>
        <w:topLinePunct w:val="0"/>
        <w:autoSpaceDE/>
        <w:autoSpaceDN/>
        <w:bidi w:val="0"/>
        <w:spacing w:line="560" w:lineRule="exact"/>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p>
    <w:p w14:paraId="22093DB4">
      <w:pPr>
        <w:pStyle w:val="4"/>
        <w:keepNext w:val="0"/>
        <w:keepLines w:val="0"/>
        <w:pageBreakBefore w:val="0"/>
        <w:widowControl/>
        <w:numPr>
          <w:ilvl w:val="0"/>
          <w:numId w:val="0"/>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SA"/>
          <w14:textFill>
            <w14:solidFill>
              <w14:schemeClr w14:val="tx1"/>
            </w14:solidFill>
          </w14:textFill>
        </w:rPr>
        <w:t>3、</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投标人资格要求</w:t>
      </w:r>
    </w:p>
    <w:p w14:paraId="27D069B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投标人应具有圆满履行合同的能力，包含但不限于：</w:t>
      </w:r>
    </w:p>
    <w:p w14:paraId="64FDD5D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2F92AC6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3.2具有独立承担民事责任的能力。</w:t>
      </w:r>
    </w:p>
    <w:p w14:paraId="6EE625A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3.3具有良好的商业信誉和健全的财务会计制度，近3年至少2年盈利。</w:t>
      </w:r>
    </w:p>
    <w:p w14:paraId="531B6CE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3.4投标人在专业技术、设备设施、人员组织、业绩经验等方面具有设计、制造、质量控制、经营管理并经国家有关部门认可的资格和能力。</w:t>
      </w:r>
    </w:p>
    <w:p w14:paraId="2B8A9749">
      <w:pPr>
        <w:pStyle w:val="4"/>
        <w:keepNext w:val="0"/>
        <w:keepLines w:val="0"/>
        <w:pageBreakBefore w:val="0"/>
        <w:widowControl/>
        <w:kinsoku/>
        <w:wordWrap/>
        <w:overflowPunct/>
        <w:topLinePunct w:val="0"/>
        <w:autoSpaceDE/>
        <w:autoSpaceDN/>
        <w:bidi w:val="0"/>
        <w:spacing w:line="360" w:lineRule="auto"/>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3.5投标人具有完善的质量保证体系及其质量认证证明。</w:t>
      </w:r>
    </w:p>
    <w:p w14:paraId="5D5F106F">
      <w:pPr>
        <w:snapToGrid w:val="0"/>
        <w:spacing w:line="384" w:lineRule="auto"/>
        <w:ind w:firstLine="617" w:firstLineChars="193"/>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具有设计、生产制造上述相关带式输送机的能力，且5年内有2家及以上成功运行业绩证明资料，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42C0C57E">
      <w:pPr>
        <w:snapToGrid w:val="0"/>
        <w:spacing w:line="384" w:lineRule="auto"/>
        <w:ind w:firstLine="617" w:firstLineChars="193"/>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3.7如标的物是国家法律、法规、部门规章及规范标准规定应具有有效生产许可证、特种设备生产许可证、制造计量器具许可证、国家强制性产品认证证书（3C认证）的，应提供证书；</w:t>
      </w:r>
    </w:p>
    <w:p w14:paraId="24D1AE5D">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3.8企业法定代表人为同一个人的两个及两个以上法人，或母公司、全资子公司及其控股公司，不得在同一标的物招标中同时投标；</w:t>
      </w:r>
    </w:p>
    <w:p w14:paraId="5F9E2722">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3.9本次招标不接受代理商投标，不接受联合体投标；</w:t>
      </w:r>
    </w:p>
    <w:p w14:paraId="1E8D5C6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3.10具备法律/行政法规规定的其他必要条件；</w:t>
      </w:r>
    </w:p>
    <w:p w14:paraId="21D8A63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4、</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资格预审文件编制要求（按如下内容及顺序要求）</w:t>
      </w:r>
    </w:p>
    <w:p w14:paraId="1504A32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4.1封面</w:t>
      </w:r>
    </w:p>
    <w:p w14:paraId="10CFF1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4.2投标人报名登记表（格式后附）</w:t>
      </w:r>
    </w:p>
    <w:p w14:paraId="065AD7F6">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4.3法人授权书</w:t>
      </w:r>
    </w:p>
    <w:p w14:paraId="21DE1F8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4.4企业营业执照</w:t>
      </w:r>
    </w:p>
    <w:p w14:paraId="4FCCCCA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4.5提供有效资质证明文件</w:t>
      </w:r>
    </w:p>
    <w:p w14:paraId="317473F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4.6近三年已审计的财务报表</w:t>
      </w:r>
    </w:p>
    <w:p w14:paraId="090C01E0">
      <w:pPr>
        <w:pStyle w:val="4"/>
        <w:keepNext w:val="0"/>
        <w:keepLines w:val="0"/>
        <w:pageBreakBefore w:val="0"/>
        <w:widowControl w:val="0"/>
        <w:kinsoku w:val="0"/>
        <w:wordWrap/>
        <w:overflowPunct w:val="0"/>
        <w:topLinePunct w:val="0"/>
        <w:autoSpaceDE w:val="0"/>
        <w:autoSpaceDN w:val="0"/>
        <w:bidi w:val="0"/>
        <w:adjustRightInd/>
        <w:snapToGrid/>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4.7</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具有近5年内制造上述相关带式输送机3家或以上成功运行业绩，附业绩表和对应合同扫描件</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14:paraId="7DD2695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4.8企业生产许可证、有效的危险化学品安全生产许可证，许可范围包含标的物；投标人须提供有效的危险化学品登记证，登记品种包含标的物。国家强制性产品认证证书（如涉及）；</w:t>
      </w:r>
    </w:p>
    <w:p w14:paraId="2A00619B">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4.9提供企业所获奖项证明（如有）；</w:t>
      </w:r>
    </w:p>
    <w:p w14:paraId="05A4C65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4.10其它有必要提供给招标人的资料。</w:t>
      </w:r>
    </w:p>
    <w:p w14:paraId="28608C90">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5、</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资格预审文件递交方式、递交时间</w:t>
      </w:r>
    </w:p>
    <w:p w14:paraId="3A7CC3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符合条件的意向投标人如有意参加投标，可按本公告要求编制资格预审文件，资格预审文件递交方式以下二种任选：</w:t>
      </w:r>
    </w:p>
    <w:p w14:paraId="47BDF134">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递交方式一：以电子邮件的形式发送，要求为PDF格式，接收邮箱地址：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zzmhgzbbj@163.com，邮件名为张文俊***公司带式输送机资质预审文件（</w:t>
      </w: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可编辑版和扫描版各一份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14:textFill>
            <w14:solidFill>
              <w14:schemeClr w14:val="tx1"/>
            </w14:solidFill>
          </w14:textFill>
        </w:rPr>
        <w:t>。</w:t>
      </w:r>
    </w:p>
    <w:p w14:paraId="48B42261">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递交方式二：现场递交</w:t>
      </w:r>
    </w:p>
    <w:p w14:paraId="5B2E189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地址：</w:t>
      </w:r>
      <w:r>
        <w:rPr>
          <w:rFonts w:hint="eastAsia" w:ascii="仿宋" w:hAnsi="仿宋" w:eastAsia="仿宋" w:cs="仿宋"/>
          <w:color w:val="000000" w:themeColor="text1"/>
          <w:sz w:val="32"/>
          <w:szCs w:val="32"/>
          <w:highlight w:val="none"/>
          <w:lang w:val="en-US" w:eastAsia="zh-CN"/>
          <w14:textFill>
            <w14:solidFill>
              <w14:schemeClr w14:val="tx1"/>
            </w14:solidFill>
          </w14:textFill>
        </w:rPr>
        <w:t>鄂尔多斯市乌审旗苏里格经济开发区纳林河产业园内蒙古卓正煤化工有限公司办公楼102室</w:t>
      </w:r>
      <w:r>
        <w:rPr>
          <w:rFonts w:hint="eastAsia" w:ascii="仿宋" w:hAnsi="仿宋" w:eastAsia="仿宋" w:cs="仿宋"/>
          <w:color w:val="000000" w:themeColor="text1"/>
          <w:sz w:val="32"/>
          <w:szCs w:val="32"/>
          <w:highlight w:val="none"/>
          <w14:textFill>
            <w14:solidFill>
              <w14:schemeClr w14:val="tx1"/>
            </w14:solidFill>
          </w14:textFill>
        </w:rPr>
        <w:t>。</w:t>
      </w:r>
    </w:p>
    <w:p w14:paraId="739032C7">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yellow"/>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联系人</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张文俊17747321402</w:t>
      </w:r>
      <w:r>
        <w:rPr>
          <w:rFonts w:hint="eastAsia" w:ascii="仿宋" w:hAnsi="仿宋" w:eastAsia="仿宋" w:cs="仿宋"/>
          <w:color w:val="000000" w:themeColor="text1"/>
          <w:sz w:val="32"/>
          <w:szCs w:val="32"/>
          <w:highlight w:val="none"/>
          <w14:textFill>
            <w14:solidFill>
              <w14:schemeClr w14:val="tx1"/>
            </w14:solidFill>
          </w14:textFill>
        </w:rPr>
        <w:t>递交截止时间：202</w:t>
      </w:r>
      <w:r>
        <w:rPr>
          <w:rFonts w:hint="eastAsia" w:ascii="仿宋" w:hAnsi="仿宋" w:eastAsia="仿宋" w:cs="仿宋"/>
          <w:color w:val="000000" w:themeColor="text1"/>
          <w:sz w:val="32"/>
          <w:szCs w:val="32"/>
          <w:highlight w:val="none"/>
          <w:lang w:val="en-US" w:eastAsia="zh-CN"/>
          <w14:textFill>
            <w14:solidFill>
              <w14:schemeClr w14:val="tx1"/>
            </w14:solidFill>
          </w14:textFill>
        </w:rPr>
        <w:t>5</w:t>
      </w:r>
      <w:r>
        <w:rPr>
          <w:rFonts w:hint="eastAsia" w:ascii="仿宋" w:hAnsi="仿宋" w:eastAsia="仿宋" w:cs="仿宋"/>
          <w:color w:val="000000" w:themeColor="text1"/>
          <w:sz w:val="32"/>
          <w:szCs w:val="32"/>
          <w:highlight w:val="none"/>
          <w14:textFill>
            <w14:solidFill>
              <w14:schemeClr w14:val="tx1"/>
            </w14:solidFill>
          </w14:textFill>
        </w:rPr>
        <w:t>年</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月</w:t>
      </w:r>
      <w:r>
        <w:rPr>
          <w:rFonts w:hint="eastAsia" w:ascii="仿宋" w:hAnsi="仿宋" w:eastAsia="仿宋" w:cs="仿宋"/>
          <w:color w:val="000000" w:themeColor="text1"/>
          <w:sz w:val="32"/>
          <w:szCs w:val="32"/>
          <w:highlight w:val="none"/>
          <w:lang w:val="en-US" w:eastAsia="zh-CN"/>
          <w14:textFill>
            <w14:solidFill>
              <w14:schemeClr w14:val="tx1"/>
            </w14:solidFill>
          </w14:textFill>
        </w:rPr>
        <w:t>10</w:t>
      </w:r>
      <w:r>
        <w:rPr>
          <w:rFonts w:hint="eastAsia" w:ascii="仿宋" w:hAnsi="仿宋" w:eastAsia="仿宋" w:cs="仿宋"/>
          <w:color w:val="000000" w:themeColor="text1"/>
          <w:sz w:val="32"/>
          <w:szCs w:val="32"/>
          <w:highlight w:val="none"/>
          <w14:textFill>
            <w14:solidFill>
              <w14:schemeClr w14:val="tx1"/>
            </w14:solidFill>
          </w14:textFill>
        </w:rPr>
        <w:t>日</w:t>
      </w:r>
      <w:r>
        <w:rPr>
          <w:rFonts w:hint="eastAsia" w:ascii="仿宋" w:hAnsi="仿宋" w:eastAsia="仿宋" w:cs="仿宋"/>
          <w:color w:val="000000" w:themeColor="text1"/>
          <w:sz w:val="32"/>
          <w:szCs w:val="32"/>
          <w:highlight w:val="none"/>
          <w:lang w:val="en-US" w:eastAsia="zh-CN"/>
          <w14:textFill>
            <w14:solidFill>
              <w14:schemeClr w14:val="tx1"/>
            </w14:solidFill>
          </w14:textFill>
        </w:rPr>
        <w:t>18:30</w:t>
      </w:r>
      <w:r>
        <w:rPr>
          <w:rFonts w:hint="eastAsia" w:ascii="仿宋" w:hAnsi="仿宋" w:eastAsia="仿宋" w:cs="仿宋"/>
          <w:color w:val="000000" w:themeColor="text1"/>
          <w:sz w:val="32"/>
          <w:szCs w:val="32"/>
          <w:highlight w:val="none"/>
          <w14:textFill>
            <w14:solidFill>
              <w14:schemeClr w14:val="tx1"/>
            </w14:solidFill>
          </w14:textFill>
        </w:rPr>
        <w:t>前</w:t>
      </w:r>
    </w:p>
    <w:p w14:paraId="49F7E985">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6、</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投标资格的确定</w:t>
      </w:r>
    </w:p>
    <w:p w14:paraId="35AD6963">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6.1符合本公告所列的资格和条件要求并递交了资格预审文件的投标意向人并不意味着一定获得投标资格。</w:t>
      </w:r>
    </w:p>
    <w:p w14:paraId="50DC321C">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6.2招标人专家组将对全部已收到的资格预审资料进行分析，并独立、自主选择、确定正式的邀请投标人名单。</w:t>
      </w:r>
    </w:p>
    <w:p w14:paraId="07342F3F">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6.3招标人选择和确定邀请投标名单的过程和方法将不会进行公示和告知。</w:t>
      </w:r>
    </w:p>
    <w:p w14:paraId="4463B2D8">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000000" w:themeColor="text1"/>
          <w:sz w:val="32"/>
          <w:szCs w:val="32"/>
          <w:highlight w:val="none"/>
          <w14:textFill>
            <w14:solidFill>
              <w14:schemeClr w14:val="tx1"/>
            </w14:solidFill>
          </w14:textFill>
        </w:rPr>
      </w:pPr>
      <w:r>
        <w:rPr>
          <w:rFonts w:hint="eastAsia" w:ascii="黑体" w:hAnsi="黑体" w:eastAsia="黑体" w:cs="黑体"/>
          <w:b w:val="0"/>
          <w:bCs w:val="0"/>
          <w:color w:val="000000" w:themeColor="text1"/>
          <w:sz w:val="32"/>
          <w:szCs w:val="32"/>
          <w:highlight w:val="none"/>
          <w14:textFill>
            <w14:solidFill>
              <w14:schemeClr w14:val="tx1"/>
            </w14:solidFill>
          </w14:textFill>
        </w:rPr>
        <w:t>7、</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其他说明</w:t>
      </w:r>
    </w:p>
    <w:p w14:paraId="5E3372FE">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7.1本阶段不组织现场踏勘，无进一步的资料提供。</w:t>
      </w:r>
    </w:p>
    <w:p w14:paraId="2B0EA50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7.2本公告的作用仅为遴选邀请投标人，具体技术及经济方面要求以正式的招标文件为准。</w:t>
      </w:r>
    </w:p>
    <w:p w14:paraId="72333C8A">
      <w:pPr>
        <w:pStyle w:val="4"/>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7.3本次报名暨资格预审为自愿参加，招标人不给予任何补偿，本阶段招标人不提供答疑服务。</w:t>
      </w:r>
    </w:p>
    <w:p w14:paraId="16307F26">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62B8C681">
      <w:pPr>
        <w:pStyle w:val="4"/>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asciiTheme="minorEastAsia" w:hAnsiTheme="minorEastAsia"/>
          <w:color w:val="000000" w:themeColor="text1"/>
          <w:highlight w:val="none"/>
          <w14:textFill>
            <w14:solidFill>
              <w14:schemeClr w14:val="tx1"/>
            </w14:solidFill>
          </w14:textFill>
        </w:rPr>
      </w:pPr>
    </w:p>
    <w:p w14:paraId="29B69D84">
      <w:pPr>
        <w:pStyle w:val="4"/>
        <w:widowControl/>
        <w:spacing w:before="240" w:line="360" w:lineRule="auto"/>
        <w:contextualSpacing/>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000000" w:themeColor="text1"/>
          <w:sz w:val="32"/>
          <w:szCs w:val="32"/>
          <w:highlight w:val="none"/>
          <w14:textFill>
            <w14:solidFill>
              <w14:schemeClr w14:val="tx1"/>
            </w14:solidFill>
          </w14:textFill>
        </w:rPr>
        <w:t>附件</w:t>
      </w:r>
      <w:r>
        <w:rPr>
          <w:rFonts w:hint="eastAsia" w:ascii="仿宋" w:hAnsi="仿宋" w:eastAsia="仿宋" w:cs="仿宋"/>
          <w:color w:val="000000" w:themeColor="text1"/>
          <w:sz w:val="32"/>
          <w:szCs w:val="32"/>
          <w:highlight w:val="none"/>
          <w:lang w:val="en-US" w:eastAsia="zh-CN"/>
          <w14:textFill>
            <w14:solidFill>
              <w14:schemeClr w14:val="tx1"/>
            </w14:solidFill>
          </w14:textFill>
        </w:rPr>
        <w:t>1</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sz w:val="32"/>
          <w:szCs w:val="32"/>
          <w:highlight w:val="none"/>
        </w:rPr>
        <w:fldChar w:fldCharType="begin"/>
      </w:r>
      <w:r>
        <w:rPr>
          <w:rFonts w:hint="eastAsia" w:ascii="仿宋" w:hAnsi="仿宋" w:eastAsia="仿宋" w:cs="仿宋"/>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sz w:val="32"/>
          <w:szCs w:val="32"/>
          <w:highlight w:val="none"/>
        </w:rPr>
        <w:fldChar w:fldCharType="separate"/>
      </w:r>
      <w:r>
        <w:rPr>
          <w:rFonts w:hint="eastAsia" w:ascii="仿宋" w:hAnsi="仿宋" w:eastAsia="仿宋" w:cs="仿宋"/>
          <w:color w:val="000000" w:themeColor="text1"/>
          <w:sz w:val="32"/>
          <w:szCs w:val="32"/>
          <w:highlight w:val="none"/>
          <w14:textFill>
            <w14:solidFill>
              <w14:schemeClr w14:val="tx1"/>
            </w14:solidFill>
          </w14:textFill>
        </w:rPr>
        <w:t>报名登记表</w:t>
      </w:r>
      <w:r>
        <w:rPr>
          <w:rFonts w:hint="eastAsia" w:ascii="仿宋" w:hAnsi="仿宋" w:eastAsia="仿宋" w:cs="仿宋"/>
          <w:color w:val="000000" w:themeColor="text1"/>
          <w:sz w:val="32"/>
          <w:szCs w:val="32"/>
          <w:highlight w:val="none"/>
          <w14:textFill>
            <w14:solidFill>
              <w14:schemeClr w14:val="tx1"/>
            </w14:solidFill>
          </w14:textFill>
        </w:rPr>
        <w:fldChar w:fldCharType="end"/>
      </w:r>
    </w:p>
    <w:p w14:paraId="33723EF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kern w:val="0"/>
          <w:sz w:val="40"/>
          <w:szCs w:val="40"/>
          <w:highlight w:val="none"/>
        </w:rPr>
      </w:pPr>
      <w:r>
        <w:rPr>
          <w:rFonts w:hint="eastAsia" w:ascii="宋体" w:hAnsi="宋体" w:eastAsia="宋体" w:cs="宋体"/>
          <w:b/>
          <w:bCs w:val="0"/>
          <w:sz w:val="40"/>
          <w:szCs w:val="40"/>
          <w:highlight w:val="none"/>
        </w:rPr>
        <w:t>投标人报名登记表</w:t>
      </w:r>
    </w:p>
    <w:tbl>
      <w:tblPr>
        <w:tblStyle w:val="5"/>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62F81293">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77F906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609D4FA8">
            <w:pPr>
              <w:widowControl/>
              <w:rPr>
                <w:rFonts w:hint="eastAsia" w:ascii="仿宋" w:hAnsi="仿宋" w:eastAsia="仿宋" w:cs="仿宋"/>
                <w:kern w:val="0"/>
                <w:sz w:val="24"/>
                <w:szCs w:val="24"/>
                <w:highlight w:val="none"/>
              </w:rPr>
            </w:pPr>
          </w:p>
        </w:tc>
      </w:tr>
      <w:tr w14:paraId="6A696BE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8DA757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AD4E842">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429280E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16836C38">
            <w:pPr>
              <w:widowControl/>
              <w:rPr>
                <w:rFonts w:hint="eastAsia" w:ascii="仿宋" w:hAnsi="仿宋" w:eastAsia="仿宋" w:cs="仿宋"/>
                <w:kern w:val="0"/>
                <w:sz w:val="24"/>
                <w:szCs w:val="24"/>
                <w:highlight w:val="none"/>
              </w:rPr>
            </w:pPr>
          </w:p>
        </w:tc>
      </w:tr>
      <w:tr w14:paraId="58372880">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61D7B6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782E1C0A">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32DF82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4BEF5401">
            <w:pPr>
              <w:widowControl/>
              <w:rPr>
                <w:rFonts w:hint="eastAsia" w:ascii="仿宋" w:hAnsi="仿宋" w:eastAsia="仿宋" w:cs="仿宋"/>
                <w:kern w:val="0"/>
                <w:sz w:val="24"/>
                <w:szCs w:val="24"/>
                <w:highlight w:val="none"/>
              </w:rPr>
            </w:pPr>
          </w:p>
        </w:tc>
      </w:tr>
      <w:tr w14:paraId="3F87034F">
        <w:tblPrEx>
          <w:tblCellMar>
            <w:top w:w="0" w:type="dxa"/>
            <w:left w:w="0" w:type="dxa"/>
            <w:bottom w:w="0" w:type="dxa"/>
            <w:right w:w="0" w:type="dxa"/>
          </w:tblCellMar>
        </w:tblPrEx>
        <w:trPr>
          <w:trHeight w:val="519" w:hRule="atLeast"/>
        </w:trPr>
        <w:tc>
          <w:tcPr>
            <w:tcW w:w="1635" w:type="dxa"/>
            <w:tcBorders>
              <w:top w:val="single" w:color="auto" w:sz="6" w:space="0"/>
              <w:left w:val="single" w:color="auto" w:sz="6" w:space="0"/>
              <w:bottom w:val="single" w:color="auto" w:sz="6" w:space="0"/>
              <w:right w:val="single" w:color="auto" w:sz="6" w:space="0"/>
            </w:tcBorders>
            <w:vAlign w:val="center"/>
          </w:tcPr>
          <w:p w14:paraId="7815A5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02316300">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5FEA0090">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33DDF694">
            <w:pPr>
              <w:widowControl/>
              <w:rPr>
                <w:rFonts w:hint="eastAsia" w:ascii="仿宋" w:hAnsi="仿宋" w:eastAsia="仿宋" w:cs="仿宋"/>
                <w:kern w:val="0"/>
                <w:sz w:val="24"/>
                <w:szCs w:val="24"/>
                <w:highlight w:val="none"/>
              </w:rPr>
            </w:pPr>
          </w:p>
        </w:tc>
      </w:tr>
      <w:tr w14:paraId="5DD4E604">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63C4C2A6">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68EAFAD1">
            <w:pPr>
              <w:widowControl/>
              <w:rPr>
                <w:rFonts w:hint="eastAsia" w:ascii="仿宋" w:hAnsi="仿宋" w:eastAsia="仿宋" w:cs="仿宋"/>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15B192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1D96E1BC">
            <w:pPr>
              <w:widowControl/>
              <w:rPr>
                <w:rFonts w:hint="eastAsia" w:ascii="仿宋" w:hAnsi="仿宋" w:eastAsia="仿宋" w:cs="仿宋"/>
                <w:kern w:val="0"/>
                <w:sz w:val="24"/>
                <w:szCs w:val="24"/>
                <w:highlight w:val="none"/>
              </w:rPr>
            </w:pPr>
          </w:p>
        </w:tc>
      </w:tr>
      <w:tr w14:paraId="2B70AACA">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68B5E50B">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734E8197">
            <w:pPr>
              <w:widowControl/>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□国家级□省、直辖市、自治区级□地市级□县区级</w:t>
            </w:r>
          </w:p>
        </w:tc>
      </w:tr>
      <w:tr w14:paraId="351EF882">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1AAB4E7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AA5B4D4">
            <w:pPr>
              <w:widowControl/>
              <w:jc w:val="left"/>
              <w:rPr>
                <w:rFonts w:hint="eastAsia" w:ascii="仿宋" w:hAnsi="仿宋" w:eastAsia="仿宋" w:cs="仿宋"/>
                <w:kern w:val="0"/>
                <w:sz w:val="24"/>
                <w:szCs w:val="24"/>
                <w:highlight w:val="none"/>
                <w:u w:val="single"/>
              </w:rPr>
            </w:pPr>
            <w:r>
              <w:rPr>
                <w:rFonts w:hint="eastAsia" w:ascii="仿宋" w:hAnsi="仿宋" w:eastAsia="仿宋" w:cs="仿宋"/>
                <w:kern w:val="0"/>
                <w:sz w:val="24"/>
                <w:szCs w:val="24"/>
                <w:highlight w:val="none"/>
              </w:rPr>
              <w:t>□国有□集体□私营□个体□合资□其它</w:t>
            </w:r>
          </w:p>
        </w:tc>
      </w:tr>
      <w:tr w14:paraId="0AA0A73E">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3EEAB85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1DAD858E">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01066E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B332E7D">
            <w:pPr>
              <w:widowControl/>
              <w:rPr>
                <w:rFonts w:hint="eastAsia" w:ascii="仿宋" w:hAnsi="仿宋" w:eastAsia="仿宋" w:cs="仿宋"/>
                <w:kern w:val="0"/>
                <w:sz w:val="24"/>
                <w:szCs w:val="24"/>
                <w:highlight w:val="none"/>
              </w:rPr>
            </w:pPr>
          </w:p>
        </w:tc>
      </w:tr>
      <w:tr w14:paraId="7A30F24D">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787D08B5">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57093942">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301A3AA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9BFC901">
            <w:pPr>
              <w:widowControl/>
              <w:rPr>
                <w:rFonts w:hint="eastAsia" w:ascii="仿宋" w:hAnsi="仿宋" w:eastAsia="仿宋" w:cs="仿宋"/>
                <w:kern w:val="0"/>
                <w:sz w:val="24"/>
                <w:szCs w:val="24"/>
                <w:highlight w:val="none"/>
              </w:rPr>
            </w:pPr>
          </w:p>
        </w:tc>
      </w:tr>
      <w:tr w14:paraId="19F4423E">
        <w:tblPrEx>
          <w:tblCellMar>
            <w:top w:w="0" w:type="dxa"/>
            <w:left w:w="0" w:type="dxa"/>
            <w:bottom w:w="0" w:type="dxa"/>
            <w:right w:w="0" w:type="dxa"/>
          </w:tblCellMar>
        </w:tblPrEx>
        <w:trPr>
          <w:trHeight w:val="447" w:hRule="atLeast"/>
        </w:trPr>
        <w:tc>
          <w:tcPr>
            <w:tcW w:w="1635" w:type="dxa"/>
            <w:tcBorders>
              <w:top w:val="single" w:color="auto" w:sz="6" w:space="0"/>
              <w:left w:val="single" w:color="auto" w:sz="6" w:space="0"/>
              <w:bottom w:val="single" w:color="auto" w:sz="6" w:space="0"/>
              <w:right w:val="single" w:color="auto" w:sz="6" w:space="0"/>
            </w:tcBorders>
            <w:vAlign w:val="center"/>
          </w:tcPr>
          <w:p w14:paraId="397A38C7">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65CFF968">
            <w:pPr>
              <w:widowControl/>
              <w:rPr>
                <w:rFonts w:hint="eastAsia" w:ascii="仿宋" w:hAnsi="仿宋" w:eastAsia="仿宋" w:cs="仿宋"/>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2A8ED00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60A05D79">
            <w:pPr>
              <w:widowControl/>
              <w:rPr>
                <w:rFonts w:hint="eastAsia" w:ascii="仿宋" w:hAnsi="仿宋" w:eastAsia="仿宋" w:cs="仿宋"/>
                <w:kern w:val="0"/>
                <w:sz w:val="24"/>
                <w:szCs w:val="24"/>
                <w:highlight w:val="none"/>
              </w:rPr>
            </w:pPr>
          </w:p>
        </w:tc>
      </w:tr>
      <w:tr w14:paraId="5AB02215">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46B7A00F">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572B2310">
            <w:pPr>
              <w:widowControl/>
              <w:rPr>
                <w:rFonts w:hint="eastAsia" w:ascii="仿宋" w:hAnsi="仿宋" w:eastAsia="仿宋" w:cs="仿宋"/>
                <w:kern w:val="0"/>
                <w:sz w:val="24"/>
                <w:szCs w:val="24"/>
                <w:highlight w:val="none"/>
              </w:rPr>
            </w:pPr>
          </w:p>
        </w:tc>
      </w:tr>
      <w:tr w14:paraId="0E40539A">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0894C68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认证情况及</w:t>
            </w:r>
          </w:p>
          <w:p w14:paraId="3D9F38F8">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8D0099F">
            <w:pPr>
              <w:widowControl/>
              <w:rPr>
                <w:rFonts w:hint="eastAsia" w:ascii="仿宋" w:hAnsi="仿宋" w:eastAsia="仿宋" w:cs="仿宋"/>
                <w:kern w:val="0"/>
                <w:sz w:val="24"/>
                <w:szCs w:val="24"/>
                <w:highlight w:val="none"/>
              </w:rPr>
            </w:pPr>
          </w:p>
        </w:tc>
      </w:tr>
      <w:tr w14:paraId="3CF8F9EA">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5063811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81097CD">
            <w:pPr>
              <w:widowControl/>
              <w:rPr>
                <w:rFonts w:hint="eastAsia" w:ascii="仿宋" w:hAnsi="仿宋" w:eastAsia="仿宋" w:cs="仿宋"/>
                <w:kern w:val="0"/>
                <w:sz w:val="24"/>
                <w:szCs w:val="24"/>
                <w:highlight w:val="none"/>
              </w:rPr>
            </w:pPr>
          </w:p>
          <w:p w14:paraId="6C2976B4">
            <w:pPr>
              <w:widowControl/>
              <w:rPr>
                <w:rFonts w:hint="eastAsia" w:ascii="仿宋" w:hAnsi="仿宋" w:eastAsia="仿宋" w:cs="仿宋"/>
                <w:kern w:val="0"/>
                <w:sz w:val="24"/>
                <w:szCs w:val="24"/>
                <w:highlight w:val="none"/>
              </w:rPr>
            </w:pPr>
          </w:p>
          <w:p w14:paraId="20757681">
            <w:pPr>
              <w:widowControl/>
              <w:rPr>
                <w:rFonts w:hint="eastAsia" w:ascii="仿宋" w:hAnsi="仿宋" w:eastAsia="仿宋" w:cs="仿宋"/>
                <w:kern w:val="0"/>
                <w:sz w:val="24"/>
                <w:szCs w:val="24"/>
                <w:highlight w:val="none"/>
              </w:rPr>
            </w:pPr>
          </w:p>
        </w:tc>
      </w:tr>
      <w:tr w14:paraId="0F7AFE6D">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69A555DC">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25AB4DD">
            <w:pPr>
              <w:widowControl/>
              <w:rPr>
                <w:rFonts w:hint="eastAsia" w:ascii="仿宋" w:hAnsi="仿宋" w:eastAsia="仿宋" w:cs="仿宋"/>
                <w:kern w:val="0"/>
                <w:sz w:val="24"/>
                <w:szCs w:val="24"/>
                <w:highlight w:val="none"/>
              </w:rPr>
            </w:pPr>
          </w:p>
          <w:p w14:paraId="17679730">
            <w:pPr>
              <w:widowControl/>
              <w:rPr>
                <w:rFonts w:hint="eastAsia" w:ascii="仿宋" w:hAnsi="仿宋" w:eastAsia="仿宋" w:cs="仿宋"/>
                <w:kern w:val="0"/>
                <w:sz w:val="24"/>
                <w:szCs w:val="24"/>
                <w:highlight w:val="none"/>
              </w:rPr>
            </w:pPr>
          </w:p>
          <w:p w14:paraId="3EE566B0">
            <w:pPr>
              <w:widowControl/>
              <w:rPr>
                <w:rFonts w:hint="eastAsia" w:ascii="仿宋" w:hAnsi="仿宋" w:eastAsia="仿宋" w:cs="仿宋"/>
                <w:kern w:val="0"/>
                <w:sz w:val="24"/>
                <w:szCs w:val="24"/>
                <w:highlight w:val="none"/>
              </w:rPr>
            </w:pPr>
          </w:p>
        </w:tc>
      </w:tr>
      <w:tr w14:paraId="1DC66FC4">
        <w:tblPrEx>
          <w:tblCellMar>
            <w:top w:w="0" w:type="dxa"/>
            <w:left w:w="0" w:type="dxa"/>
            <w:bottom w:w="0" w:type="dxa"/>
            <w:right w:w="0" w:type="dxa"/>
          </w:tblCellMar>
        </w:tblPrEx>
        <w:trPr>
          <w:trHeight w:val="1414" w:hRule="atLeast"/>
        </w:trPr>
        <w:tc>
          <w:tcPr>
            <w:tcW w:w="1635" w:type="dxa"/>
            <w:tcBorders>
              <w:top w:val="single" w:color="auto" w:sz="6" w:space="0"/>
              <w:left w:val="single" w:color="auto" w:sz="6" w:space="0"/>
              <w:bottom w:val="single" w:color="auto" w:sz="6" w:space="0"/>
              <w:right w:val="single" w:color="auto" w:sz="6" w:space="0"/>
            </w:tcBorders>
            <w:vAlign w:val="center"/>
          </w:tcPr>
          <w:p w14:paraId="47822559">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B42B2BF">
            <w:pPr>
              <w:widowControl/>
              <w:rPr>
                <w:rFonts w:hint="eastAsia" w:ascii="仿宋" w:hAnsi="仿宋" w:eastAsia="仿宋" w:cs="仿宋"/>
                <w:kern w:val="0"/>
                <w:sz w:val="24"/>
                <w:szCs w:val="24"/>
                <w:highlight w:val="none"/>
              </w:rPr>
            </w:pPr>
          </w:p>
        </w:tc>
      </w:tr>
      <w:tr w14:paraId="436B7C18">
        <w:tblPrEx>
          <w:tblCellMar>
            <w:top w:w="0" w:type="dxa"/>
            <w:left w:w="0" w:type="dxa"/>
            <w:bottom w:w="0" w:type="dxa"/>
            <w:right w:w="0" w:type="dxa"/>
          </w:tblCellMar>
        </w:tblPrEx>
        <w:trPr>
          <w:trHeight w:val="1452" w:hRule="atLeast"/>
        </w:trPr>
        <w:tc>
          <w:tcPr>
            <w:tcW w:w="1635" w:type="dxa"/>
            <w:tcBorders>
              <w:top w:val="single" w:color="auto" w:sz="6" w:space="0"/>
              <w:left w:val="single" w:color="auto" w:sz="6" w:space="0"/>
              <w:bottom w:val="single" w:color="auto" w:sz="6" w:space="0"/>
              <w:right w:val="single" w:color="auto" w:sz="6" w:space="0"/>
            </w:tcBorders>
            <w:vAlign w:val="center"/>
          </w:tcPr>
          <w:p w14:paraId="3B3075FA">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附件（证书</w:t>
            </w:r>
          </w:p>
          <w:p w14:paraId="4403CFF2">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FD7719E">
            <w:pPr>
              <w:widowControl/>
              <w:rPr>
                <w:rFonts w:hint="eastAsia" w:ascii="仿宋" w:hAnsi="仿宋" w:eastAsia="仿宋" w:cs="仿宋"/>
                <w:kern w:val="0"/>
                <w:sz w:val="24"/>
                <w:szCs w:val="24"/>
                <w:highlight w:val="none"/>
              </w:rPr>
            </w:pPr>
          </w:p>
          <w:p w14:paraId="04BDC9CF">
            <w:pPr>
              <w:widowControl/>
              <w:rPr>
                <w:rFonts w:hint="eastAsia" w:ascii="仿宋" w:hAnsi="仿宋" w:eastAsia="仿宋" w:cs="仿宋"/>
                <w:kern w:val="0"/>
                <w:sz w:val="24"/>
                <w:szCs w:val="24"/>
                <w:highlight w:val="none"/>
              </w:rPr>
            </w:pPr>
          </w:p>
          <w:p w14:paraId="27ED6D75">
            <w:pPr>
              <w:widowControl/>
              <w:rPr>
                <w:rFonts w:hint="eastAsia" w:ascii="仿宋" w:hAnsi="仿宋" w:eastAsia="仿宋" w:cs="仿宋"/>
                <w:kern w:val="0"/>
                <w:sz w:val="24"/>
                <w:szCs w:val="24"/>
                <w:highlight w:val="none"/>
              </w:rPr>
            </w:pPr>
          </w:p>
          <w:p w14:paraId="6E69AEDD">
            <w:pPr>
              <w:widowControl/>
              <w:rPr>
                <w:rFonts w:hint="eastAsia" w:ascii="仿宋" w:hAnsi="仿宋" w:eastAsia="仿宋" w:cs="仿宋"/>
                <w:kern w:val="0"/>
                <w:sz w:val="24"/>
                <w:szCs w:val="24"/>
                <w:highlight w:val="none"/>
              </w:rPr>
            </w:pPr>
          </w:p>
          <w:p w14:paraId="739B0E81">
            <w:pPr>
              <w:widowControl/>
              <w:rPr>
                <w:rFonts w:hint="eastAsia" w:ascii="仿宋" w:hAnsi="仿宋" w:eastAsia="仿宋" w:cs="仿宋"/>
                <w:kern w:val="0"/>
                <w:sz w:val="24"/>
                <w:szCs w:val="24"/>
                <w:highlight w:val="none"/>
              </w:rPr>
            </w:pPr>
          </w:p>
        </w:tc>
      </w:tr>
      <w:tr w14:paraId="06E14CE7">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13CB71E3">
            <w:pPr>
              <w:widowControl/>
              <w:jc w:val="center"/>
              <w:rPr>
                <w:rFonts w:hint="eastAsia" w:ascii="仿宋" w:hAnsi="仿宋" w:eastAsia="仿宋" w:cs="仿宋"/>
                <w:b/>
                <w:kern w:val="0"/>
                <w:sz w:val="24"/>
                <w:szCs w:val="24"/>
                <w:highlight w:val="none"/>
              </w:rPr>
            </w:pPr>
            <w:r>
              <w:rPr>
                <w:rFonts w:hint="eastAsia" w:ascii="仿宋" w:hAnsi="仿宋" w:eastAsia="仿宋" w:cs="仿宋"/>
                <w:b/>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1493BB1D">
            <w:pPr>
              <w:widowControl/>
              <w:ind w:firstLine="723" w:firstLineChars="300"/>
              <w:jc w:val="left"/>
              <w:rPr>
                <w:rFonts w:hint="eastAsia" w:ascii="仿宋" w:hAnsi="仿宋" w:eastAsia="仿宋" w:cs="仿宋"/>
                <w:b/>
                <w:kern w:val="0"/>
                <w:sz w:val="24"/>
                <w:szCs w:val="24"/>
                <w:highlight w:val="none"/>
              </w:rPr>
            </w:pPr>
          </w:p>
        </w:tc>
      </w:tr>
    </w:tbl>
    <w:p w14:paraId="36700210">
      <w:pPr>
        <w:rPr>
          <w:rFonts w:hint="eastAsia"/>
          <w:lang w:val="en-US" w:eastAsia="zh-CN"/>
        </w:rPr>
        <w:sectPr>
          <w:headerReference r:id="rId3" w:type="default"/>
          <w:pgSz w:w="11906" w:h="16838"/>
          <w:pgMar w:top="1440" w:right="1800" w:bottom="1440" w:left="1800" w:header="851" w:footer="992" w:gutter="0"/>
          <w:cols w:space="425" w:num="1"/>
          <w:docGrid w:type="lines" w:linePitch="312" w:charSpace="0"/>
        </w:sectPr>
      </w:pPr>
    </w:p>
    <w:p w14:paraId="1BC325C4">
      <w:pPr>
        <w:pStyle w:val="4"/>
        <w:widowControl/>
        <w:spacing w:before="240" w:line="360" w:lineRule="auto"/>
        <w:contextualSpacing/>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附件2</w:t>
      </w:r>
      <w:r>
        <w:rPr>
          <w:rFonts w:hint="eastAsia" w:ascii="仿宋" w:hAnsi="仿宋" w:eastAsia="仿宋" w:cs="仿宋"/>
          <w:i w:val="0"/>
          <w:iCs w:val="0"/>
          <w:color w:val="000000" w:themeColor="text1"/>
          <w:kern w:val="0"/>
          <w:sz w:val="32"/>
          <w:szCs w:val="32"/>
          <w:highlight w:val="none"/>
          <w:u w:val="none"/>
          <w:lang w:val="en-US" w:eastAsia="zh-CN" w:bidi="ar"/>
          <w14:textFill>
            <w14:solidFill>
              <w14:schemeClr w14:val="tx1"/>
            </w14:solidFill>
          </w14:textFill>
        </w:rPr>
        <w:t>业绩表</w:t>
      </w:r>
    </w:p>
    <w:tbl>
      <w:tblPr>
        <w:tblW w:w="13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74"/>
        <w:gridCol w:w="1599"/>
        <w:gridCol w:w="1981"/>
        <w:gridCol w:w="1626"/>
        <w:gridCol w:w="1230"/>
        <w:gridCol w:w="915"/>
        <w:gridCol w:w="984"/>
        <w:gridCol w:w="1667"/>
        <w:gridCol w:w="1708"/>
        <w:gridCol w:w="1230"/>
      </w:tblGrid>
      <w:tr w14:paraId="062C2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16"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173683E5">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序号</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20AC45B1">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买方名称</w:t>
            </w: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5B6CB65D">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项目名称</w:t>
            </w: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36C20CE3">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设备名称</w:t>
            </w: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0CBE82A0">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规格型号</w:t>
            </w: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0606C4B2">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数量</w:t>
            </w: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43099822">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单位</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1371FAEE">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合同签订时间</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6FC75A6E">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是否具有合同</w:t>
            </w:r>
          </w:p>
        </w:tc>
        <w:tc>
          <w:tcPr>
            <w:tcW w:w="1230" w:type="dxa"/>
            <w:tcBorders>
              <w:top w:val="single" w:color="000000" w:sz="4" w:space="0"/>
              <w:left w:val="single" w:color="000000" w:sz="4" w:space="0"/>
              <w:bottom w:val="single" w:color="000000" w:sz="4" w:space="0"/>
              <w:right w:val="single" w:color="000000" w:sz="4" w:space="0"/>
            </w:tcBorders>
            <w:shd w:val="clear"/>
            <w:vAlign w:val="center"/>
          </w:tcPr>
          <w:p w14:paraId="0802EF14">
            <w:pPr>
              <w:keepNext w:val="0"/>
              <w:keepLines w:val="0"/>
              <w:widowControl/>
              <w:suppressLineNumbers w:val="0"/>
              <w:jc w:val="center"/>
              <w:textAlignment w:val="auto"/>
              <w:rPr>
                <w:rFonts w:hint="eastAsia" w:ascii="仿宋" w:hAnsi="仿宋" w:eastAsia="仿宋" w:cs="仿宋"/>
                <w:b/>
                <w:bCs w:val="0"/>
                <w:i w:val="0"/>
                <w:iCs w:val="0"/>
                <w:kern w:val="0"/>
                <w:sz w:val="24"/>
                <w:szCs w:val="24"/>
                <w:highlight w:val="none"/>
                <w:u w:val="none"/>
              </w:rPr>
            </w:pPr>
            <w:r>
              <w:rPr>
                <w:rFonts w:hint="eastAsia" w:ascii="仿宋" w:hAnsi="仿宋" w:eastAsia="仿宋" w:cs="仿宋"/>
                <w:b/>
                <w:bCs w:val="0"/>
                <w:i w:val="0"/>
                <w:iCs w:val="0"/>
                <w:kern w:val="0"/>
                <w:sz w:val="24"/>
                <w:szCs w:val="24"/>
                <w:highlight w:val="none"/>
                <w:u w:val="none"/>
                <w:bdr w:val="none" w:sz="4" w:space="0"/>
                <w:lang w:val="en-US" w:eastAsia="zh-CN" w:bidi="ar"/>
              </w:rPr>
              <w:t>合同附件所在位置</w:t>
            </w:r>
          </w:p>
        </w:tc>
      </w:tr>
      <w:tr w14:paraId="794B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4CEADB26">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1</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61923A52">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4828242E">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550921E9">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0FE1D9C0">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033C362F">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3D0BCD2B">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169B2073">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78CBE701">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是/否</w:t>
            </w: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6384840F">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7126B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1E07C127">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2</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6B8096C6">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7331192A">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75718100">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1CB3E94C">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19A11FA6">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24C34DE2">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725BCA66">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55623F95">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39B341A9">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0A27C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69770FDC">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3</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2D3E6425">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039FDCB6">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6B9F387A">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5CF5BAD1">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6C645BDB">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566FDA60">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22E56AFB">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46EB0569">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05371C07">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581D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4A359927">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4</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1623BBF6">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72982245">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06373986">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3B3E48AF">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51CE015B">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30B65BC9">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69CD65D4">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6E48492C">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2EBFEB87">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6364F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5EFC5035">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5</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72D4791F">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7923B2FF">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1352825D">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3C053D15">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36E5F8B0">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43B20EA9">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0FB01E10">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0985409A">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7D5A9CD0">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52951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146B4EF1">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6</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502BBD88">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3C943552">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599E4BF3">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1CDFDECA">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5C3F88F3">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064C2A07">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1ED9D769">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40F41473">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48B1B85E">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r w14:paraId="09C64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574" w:type="dxa"/>
            <w:tcBorders>
              <w:top w:val="single" w:color="000000" w:sz="4" w:space="0"/>
              <w:left w:val="single" w:color="000000" w:sz="4" w:space="0"/>
              <w:bottom w:val="single" w:color="000000" w:sz="4" w:space="0"/>
              <w:right w:val="single" w:color="000000" w:sz="4" w:space="0"/>
            </w:tcBorders>
            <w:shd w:val="clear"/>
            <w:noWrap/>
            <w:vAlign w:val="center"/>
          </w:tcPr>
          <w:p w14:paraId="2BEAF0B2">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7</w:t>
            </w:r>
          </w:p>
        </w:tc>
        <w:tc>
          <w:tcPr>
            <w:tcW w:w="1599" w:type="dxa"/>
            <w:tcBorders>
              <w:top w:val="single" w:color="000000" w:sz="4" w:space="0"/>
              <w:left w:val="single" w:color="000000" w:sz="4" w:space="0"/>
              <w:bottom w:val="single" w:color="000000" w:sz="4" w:space="0"/>
              <w:right w:val="single" w:color="000000" w:sz="4" w:space="0"/>
            </w:tcBorders>
            <w:shd w:val="clear"/>
            <w:noWrap/>
            <w:vAlign w:val="center"/>
          </w:tcPr>
          <w:p w14:paraId="5214FEEB">
            <w:pPr>
              <w:jc w:val="center"/>
              <w:rPr>
                <w:rFonts w:hint="eastAsia" w:ascii="仿宋" w:hAnsi="仿宋" w:eastAsia="仿宋" w:cs="仿宋"/>
                <w:i w:val="0"/>
                <w:iCs w:val="0"/>
                <w:kern w:val="0"/>
                <w:sz w:val="24"/>
                <w:szCs w:val="24"/>
                <w:highlight w:val="none"/>
                <w:u w:val="none"/>
              </w:rPr>
            </w:pPr>
          </w:p>
        </w:tc>
        <w:tc>
          <w:tcPr>
            <w:tcW w:w="1981" w:type="dxa"/>
            <w:tcBorders>
              <w:top w:val="single" w:color="000000" w:sz="4" w:space="0"/>
              <w:left w:val="single" w:color="000000" w:sz="4" w:space="0"/>
              <w:bottom w:val="single" w:color="000000" w:sz="4" w:space="0"/>
              <w:right w:val="single" w:color="000000" w:sz="4" w:space="0"/>
            </w:tcBorders>
            <w:shd w:val="clear"/>
            <w:noWrap/>
            <w:vAlign w:val="center"/>
          </w:tcPr>
          <w:p w14:paraId="1A47C60D">
            <w:pPr>
              <w:jc w:val="center"/>
              <w:rPr>
                <w:rFonts w:hint="eastAsia" w:ascii="仿宋" w:hAnsi="仿宋" w:eastAsia="仿宋" w:cs="仿宋"/>
                <w:i w:val="0"/>
                <w:iCs w:val="0"/>
                <w:kern w:val="0"/>
                <w:sz w:val="24"/>
                <w:szCs w:val="24"/>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noWrap/>
            <w:vAlign w:val="center"/>
          </w:tcPr>
          <w:p w14:paraId="307E69D5">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1B8F5DD3">
            <w:pPr>
              <w:jc w:val="center"/>
              <w:rPr>
                <w:rFonts w:hint="eastAsia" w:ascii="仿宋" w:hAnsi="仿宋" w:eastAsia="仿宋" w:cs="仿宋"/>
                <w:i w:val="0"/>
                <w:iCs w:val="0"/>
                <w:kern w:val="0"/>
                <w:sz w:val="24"/>
                <w:szCs w:val="24"/>
                <w:highlight w:val="none"/>
                <w:u w:val="none"/>
              </w:rPr>
            </w:pPr>
          </w:p>
        </w:tc>
        <w:tc>
          <w:tcPr>
            <w:tcW w:w="915" w:type="dxa"/>
            <w:tcBorders>
              <w:top w:val="single" w:color="000000" w:sz="4" w:space="0"/>
              <w:left w:val="single" w:color="000000" w:sz="4" w:space="0"/>
              <w:bottom w:val="single" w:color="000000" w:sz="4" w:space="0"/>
              <w:right w:val="single" w:color="000000" w:sz="4" w:space="0"/>
            </w:tcBorders>
            <w:shd w:val="clear"/>
            <w:noWrap/>
            <w:vAlign w:val="center"/>
          </w:tcPr>
          <w:p w14:paraId="621178A8">
            <w:pPr>
              <w:jc w:val="center"/>
              <w:rPr>
                <w:rFonts w:hint="eastAsia" w:ascii="仿宋" w:hAnsi="仿宋" w:eastAsia="仿宋" w:cs="仿宋"/>
                <w:i w:val="0"/>
                <w:iCs w:val="0"/>
                <w:kern w:val="0"/>
                <w:sz w:val="24"/>
                <w:szCs w:val="24"/>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noWrap/>
            <w:vAlign w:val="center"/>
          </w:tcPr>
          <w:p w14:paraId="7E4803E3">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台/套</w:t>
            </w:r>
          </w:p>
        </w:tc>
        <w:tc>
          <w:tcPr>
            <w:tcW w:w="1667" w:type="dxa"/>
            <w:tcBorders>
              <w:top w:val="single" w:color="000000" w:sz="4" w:space="0"/>
              <w:left w:val="single" w:color="000000" w:sz="4" w:space="0"/>
              <w:bottom w:val="single" w:color="000000" w:sz="4" w:space="0"/>
              <w:right w:val="single" w:color="000000" w:sz="4" w:space="0"/>
            </w:tcBorders>
            <w:shd w:val="clear"/>
            <w:noWrap/>
            <w:vAlign w:val="center"/>
          </w:tcPr>
          <w:p w14:paraId="516886B1">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年   月</w:t>
            </w:r>
          </w:p>
        </w:tc>
        <w:tc>
          <w:tcPr>
            <w:tcW w:w="1708" w:type="dxa"/>
            <w:tcBorders>
              <w:top w:val="single" w:color="000000" w:sz="4" w:space="0"/>
              <w:left w:val="single" w:color="000000" w:sz="4" w:space="0"/>
              <w:bottom w:val="single" w:color="000000" w:sz="4" w:space="0"/>
              <w:right w:val="single" w:color="000000" w:sz="4" w:space="0"/>
            </w:tcBorders>
            <w:shd w:val="clear"/>
            <w:noWrap/>
            <w:vAlign w:val="center"/>
          </w:tcPr>
          <w:p w14:paraId="368C15B0">
            <w:pPr>
              <w:jc w:val="center"/>
              <w:rPr>
                <w:rFonts w:hint="eastAsia" w:ascii="仿宋" w:hAnsi="仿宋" w:eastAsia="仿宋" w:cs="仿宋"/>
                <w:i w:val="0"/>
                <w:iCs w:val="0"/>
                <w:kern w:val="0"/>
                <w:sz w:val="24"/>
                <w:szCs w:val="24"/>
                <w:highlight w:val="none"/>
                <w:u w:val="none"/>
              </w:rPr>
            </w:pPr>
          </w:p>
        </w:tc>
        <w:tc>
          <w:tcPr>
            <w:tcW w:w="1230" w:type="dxa"/>
            <w:tcBorders>
              <w:top w:val="single" w:color="000000" w:sz="4" w:space="0"/>
              <w:left w:val="single" w:color="000000" w:sz="4" w:space="0"/>
              <w:bottom w:val="single" w:color="000000" w:sz="4" w:space="0"/>
              <w:right w:val="single" w:color="000000" w:sz="4" w:space="0"/>
            </w:tcBorders>
            <w:shd w:val="clear"/>
            <w:noWrap/>
            <w:vAlign w:val="center"/>
          </w:tcPr>
          <w:p w14:paraId="7E398F4B">
            <w:pPr>
              <w:keepNext w:val="0"/>
              <w:keepLines w:val="0"/>
              <w:widowControl/>
              <w:suppressLineNumbers w:val="0"/>
              <w:jc w:val="center"/>
              <w:textAlignment w:val="auto"/>
              <w:rPr>
                <w:rFonts w:hint="eastAsia" w:ascii="仿宋" w:hAnsi="仿宋" w:eastAsia="仿宋" w:cs="仿宋"/>
                <w:i w:val="0"/>
                <w:iCs w:val="0"/>
                <w:kern w:val="0"/>
                <w:sz w:val="24"/>
                <w:szCs w:val="24"/>
                <w:highlight w:val="none"/>
                <w:u w:val="none"/>
              </w:rPr>
            </w:pPr>
            <w:r>
              <w:rPr>
                <w:rFonts w:hint="eastAsia" w:ascii="仿宋" w:hAnsi="仿宋" w:eastAsia="仿宋" w:cs="仿宋"/>
                <w:i w:val="0"/>
                <w:iCs w:val="0"/>
                <w:kern w:val="0"/>
                <w:sz w:val="24"/>
                <w:szCs w:val="24"/>
                <w:highlight w:val="none"/>
                <w:u w:val="none"/>
                <w:bdr w:val="none" w:sz="4" w:space="0"/>
                <w:lang w:val="en-US" w:eastAsia="zh-CN" w:bidi="ar"/>
              </w:rPr>
              <w:t>第  页</w:t>
            </w:r>
          </w:p>
        </w:tc>
      </w:tr>
    </w:tbl>
    <w:p w14:paraId="67B8A30B">
      <w:pPr>
        <w:widowControl/>
        <w:jc w:val="center"/>
        <w:rPr>
          <w:rFonts w:hint="eastAsia" w:ascii="仿宋" w:hAnsi="仿宋" w:eastAsia="仿宋" w:cs="仿宋"/>
          <w:kern w:val="0"/>
          <w:sz w:val="24"/>
          <w:highlight w:val="none"/>
          <w:lang w:val="en-US" w:eastAsia="zh-CN"/>
        </w:rPr>
      </w:pPr>
    </w:p>
    <w:bookmarkEnd w:id="2"/>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1928F">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xMmMyZjM2OTRmYmMzZTg0NTZmMTM4YmI4OGExYTMifQ=="/>
    <w:docVar w:name="KSO_WPS_MARK_KEY" w:val="50c2b218-95f8-40bb-8883-5ecbf2ffaed3"/>
  </w:docVars>
  <w:rsids>
    <w:rsidRoot w:val="038A4730"/>
    <w:rsid w:val="01FD7E4B"/>
    <w:rsid w:val="038A4730"/>
    <w:rsid w:val="29B36EBE"/>
    <w:rsid w:val="2B710DDE"/>
    <w:rsid w:val="360E0E3F"/>
    <w:rsid w:val="38261808"/>
    <w:rsid w:val="38B60778"/>
    <w:rsid w:val="45232CF2"/>
    <w:rsid w:val="5088682A"/>
    <w:rsid w:val="58065871"/>
    <w:rsid w:val="58387FBC"/>
    <w:rsid w:val="5E3F68F2"/>
    <w:rsid w:val="5EB53234"/>
    <w:rsid w:val="6B1E13C1"/>
    <w:rsid w:val="71167A14"/>
    <w:rsid w:val="7640418E"/>
    <w:rsid w:val="7D693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